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56" w:rsidRPr="00410FA5" w:rsidRDefault="000D7D56" w:rsidP="003875D6">
      <w:pPr>
        <w:pStyle w:val="Date"/>
        <w:spacing w:line="520" w:lineRule="exact"/>
        <w:rPr>
          <w:rFonts w:ascii="宋体"/>
          <w:sz w:val="24"/>
          <w:szCs w:val="24"/>
        </w:rPr>
      </w:pPr>
      <w:r w:rsidRPr="00410FA5">
        <w:rPr>
          <w:rFonts w:ascii="宋体" w:hAnsi="宋体" w:cs="宋体" w:hint="eastAsia"/>
          <w:sz w:val="24"/>
          <w:szCs w:val="24"/>
        </w:rPr>
        <w:t>证券代码：</w:t>
      </w:r>
      <w:r w:rsidRPr="00410FA5">
        <w:rPr>
          <w:rFonts w:ascii="宋体" w:cs="宋体"/>
          <w:sz w:val="24"/>
          <w:szCs w:val="24"/>
        </w:rPr>
        <w:t>00</w:t>
      </w:r>
      <w:r w:rsidRPr="00410FA5">
        <w:rPr>
          <w:rFonts w:ascii="宋体" w:hAnsi="宋体" w:cs="宋体"/>
          <w:sz w:val="24"/>
          <w:szCs w:val="24"/>
        </w:rPr>
        <w:t xml:space="preserve">0402              </w:t>
      </w:r>
      <w:r w:rsidRPr="00410FA5">
        <w:rPr>
          <w:rFonts w:ascii="宋体" w:hAnsi="宋体" w:cs="宋体" w:hint="eastAsia"/>
          <w:sz w:val="24"/>
          <w:szCs w:val="24"/>
        </w:rPr>
        <w:t>证券简称：金融街</w:t>
      </w:r>
      <w:r w:rsidRPr="00410FA5">
        <w:rPr>
          <w:rFonts w:ascii="宋体" w:hAnsi="宋体" w:cs="宋体"/>
          <w:sz w:val="24"/>
          <w:szCs w:val="24"/>
        </w:rPr>
        <w:t xml:space="preserve">               </w:t>
      </w:r>
      <w:r w:rsidRPr="00410FA5">
        <w:rPr>
          <w:rFonts w:ascii="宋体" w:hAnsi="宋体" w:cs="宋体" w:hint="eastAsia"/>
          <w:sz w:val="24"/>
          <w:szCs w:val="24"/>
        </w:rPr>
        <w:t>公告编号：</w:t>
      </w:r>
      <w:r>
        <w:rPr>
          <w:rFonts w:ascii="宋体" w:hAnsi="宋体" w:cs="宋体"/>
          <w:sz w:val="24"/>
          <w:szCs w:val="24"/>
        </w:rPr>
        <w:t>2015</w:t>
      </w:r>
      <w:r>
        <w:rPr>
          <w:rFonts w:ascii="宋体" w:cs="宋体"/>
          <w:sz w:val="24"/>
          <w:szCs w:val="24"/>
        </w:rPr>
        <w:t>-</w:t>
      </w:r>
      <w:r w:rsidRPr="00A31FE7">
        <w:rPr>
          <w:rFonts w:ascii="宋体" w:cs="宋体"/>
          <w:sz w:val="24"/>
          <w:szCs w:val="24"/>
        </w:rPr>
        <w:t>0</w:t>
      </w:r>
      <w:r>
        <w:rPr>
          <w:rFonts w:ascii="宋体" w:cs="宋体"/>
          <w:sz w:val="24"/>
          <w:szCs w:val="24"/>
        </w:rPr>
        <w:t>0</w:t>
      </w:r>
      <w:r>
        <w:rPr>
          <w:rFonts w:ascii="宋体" w:hAnsi="宋体" w:cs="宋体"/>
          <w:sz w:val="24"/>
          <w:szCs w:val="24"/>
        </w:rPr>
        <w:t>8</w:t>
      </w:r>
    </w:p>
    <w:p w:rsidR="000D7D56" w:rsidRDefault="000D7D56" w:rsidP="003875D6">
      <w:pPr>
        <w:spacing w:before="100" w:beforeAutospacing="1"/>
        <w:jc w:val="center"/>
        <w:rPr>
          <w:rFonts w:ascii="宋体"/>
          <w:b/>
          <w:bCs/>
          <w:sz w:val="32"/>
          <w:szCs w:val="32"/>
        </w:rPr>
      </w:pPr>
      <w:r>
        <w:rPr>
          <w:rFonts w:ascii="宋体" w:hAnsi="宋体" w:cs="宋体" w:hint="eastAsia"/>
          <w:b/>
          <w:bCs/>
          <w:sz w:val="32"/>
          <w:szCs w:val="32"/>
        </w:rPr>
        <w:t>金融街控股股份有限公司</w:t>
      </w:r>
    </w:p>
    <w:p w:rsidR="000D7D56" w:rsidRDefault="000D7D56" w:rsidP="003875D6">
      <w:pPr>
        <w:jc w:val="center"/>
        <w:rPr>
          <w:rFonts w:ascii="宋体"/>
          <w:b/>
          <w:bCs/>
          <w:sz w:val="32"/>
          <w:szCs w:val="32"/>
        </w:rPr>
      </w:pPr>
      <w:r>
        <w:rPr>
          <w:rFonts w:ascii="宋体" w:hAnsi="宋体" w:cs="宋体"/>
          <w:b/>
          <w:bCs/>
          <w:sz w:val="32"/>
          <w:szCs w:val="32"/>
        </w:rPr>
        <w:t>2015</w:t>
      </w:r>
      <w:r>
        <w:rPr>
          <w:rFonts w:ascii="宋体" w:hAnsi="宋体" w:cs="宋体" w:hint="eastAsia"/>
          <w:b/>
          <w:bCs/>
          <w:sz w:val="32"/>
          <w:szCs w:val="32"/>
        </w:rPr>
        <w:t>年第一次临时股东大会决议公告</w:t>
      </w:r>
    </w:p>
    <w:p w:rsidR="000D7D56" w:rsidRDefault="000D7D56" w:rsidP="003875D6">
      <w:pPr>
        <w:spacing w:line="500" w:lineRule="exact"/>
        <w:ind w:firstLine="550"/>
        <w:rPr>
          <w:rFonts w:ascii="宋体"/>
          <w:b/>
          <w:bCs/>
          <w:snapToGrid w:val="0"/>
          <w:kern w:val="0"/>
          <w:sz w:val="24"/>
          <w:szCs w:val="24"/>
        </w:rPr>
      </w:pPr>
      <w:r>
        <w:rPr>
          <w:rFonts w:ascii="宋体" w:cs="宋体" w:hint="eastAsia"/>
          <w:b/>
          <w:bCs/>
          <w:snapToGrid w:val="0"/>
          <w:kern w:val="0"/>
          <w:sz w:val="24"/>
          <w:szCs w:val="24"/>
        </w:rPr>
        <w:t>本公司及董事会全体成员保证信息披露内容的真实、准确、完整，没有虚假记载、误导性陈述或者重大遗漏。</w:t>
      </w:r>
    </w:p>
    <w:p w:rsidR="000D7D56" w:rsidRPr="00AB4CBF" w:rsidRDefault="000D7D56" w:rsidP="00353BBE">
      <w:pPr>
        <w:spacing w:line="500" w:lineRule="atLeast"/>
        <w:ind w:firstLineChars="184" w:firstLine="31680"/>
        <w:rPr>
          <w:rFonts w:ascii="宋体"/>
          <w:b/>
          <w:bCs/>
          <w:snapToGrid w:val="0"/>
          <w:sz w:val="24"/>
          <w:szCs w:val="24"/>
        </w:rPr>
      </w:pPr>
      <w:r w:rsidRPr="00AB4CBF">
        <w:rPr>
          <w:rFonts w:ascii="宋体" w:hAnsi="宋体" w:cs="宋体" w:hint="eastAsia"/>
          <w:b/>
          <w:bCs/>
          <w:snapToGrid w:val="0"/>
          <w:sz w:val="24"/>
          <w:szCs w:val="24"/>
        </w:rPr>
        <w:t>一、重要提示</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本次会议在召开期间无增加、否决或变更提案。</w:t>
      </w:r>
    </w:p>
    <w:p w:rsidR="000D7D56" w:rsidRPr="00AB4CBF" w:rsidRDefault="000D7D56" w:rsidP="00353BBE">
      <w:pPr>
        <w:spacing w:line="500" w:lineRule="atLeast"/>
        <w:ind w:firstLineChars="184" w:firstLine="31680"/>
        <w:rPr>
          <w:rFonts w:ascii="宋体"/>
          <w:b/>
          <w:bCs/>
          <w:snapToGrid w:val="0"/>
          <w:sz w:val="24"/>
          <w:szCs w:val="24"/>
        </w:rPr>
      </w:pPr>
      <w:r w:rsidRPr="00AB4CBF">
        <w:rPr>
          <w:rFonts w:ascii="宋体" w:hAnsi="宋体" w:cs="宋体" w:hint="eastAsia"/>
          <w:b/>
          <w:bCs/>
          <w:snapToGrid w:val="0"/>
          <w:sz w:val="24"/>
          <w:szCs w:val="24"/>
        </w:rPr>
        <w:t>二、会议召开的情况</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（一）现场会议召开时间：</w:t>
      </w:r>
    </w:p>
    <w:p w:rsidR="000D7D56" w:rsidRPr="00AB4CBF" w:rsidRDefault="000D7D56" w:rsidP="00353BBE">
      <w:pPr>
        <w:spacing w:line="500" w:lineRule="atLeast"/>
        <w:ind w:firstLineChars="184" w:firstLine="31680"/>
        <w:rPr>
          <w:rFonts w:ascii="宋体"/>
          <w:snapToGrid w:val="0"/>
          <w:sz w:val="24"/>
          <w:szCs w:val="24"/>
        </w:rPr>
      </w:pPr>
      <w:r>
        <w:rPr>
          <w:rFonts w:ascii="宋体" w:hAnsi="宋体" w:cs="宋体"/>
          <w:snapToGrid w:val="0"/>
          <w:sz w:val="24"/>
          <w:szCs w:val="24"/>
        </w:rPr>
        <w:t>2015</w:t>
      </w:r>
      <w:r w:rsidRPr="00AB4CBF">
        <w:rPr>
          <w:rFonts w:ascii="宋体" w:hAnsi="宋体" w:cs="宋体" w:hint="eastAsia"/>
          <w:snapToGrid w:val="0"/>
          <w:sz w:val="24"/>
          <w:szCs w:val="24"/>
        </w:rPr>
        <w:t>年第一次临时股东大会现场会议于</w:t>
      </w:r>
      <w:r>
        <w:rPr>
          <w:rFonts w:ascii="宋体" w:hAnsi="宋体" w:cs="宋体"/>
          <w:snapToGrid w:val="0"/>
          <w:sz w:val="24"/>
          <w:szCs w:val="24"/>
        </w:rPr>
        <w:t>2015</w:t>
      </w:r>
      <w:r w:rsidRPr="00AB4CBF">
        <w:rPr>
          <w:rFonts w:ascii="宋体" w:hAnsi="宋体" w:cs="宋体" w:hint="eastAsia"/>
          <w:snapToGrid w:val="0"/>
          <w:sz w:val="24"/>
          <w:szCs w:val="24"/>
        </w:rPr>
        <w:t>年</w:t>
      </w:r>
      <w:r>
        <w:rPr>
          <w:rFonts w:ascii="宋体" w:hAnsi="宋体" w:cs="宋体"/>
          <w:snapToGrid w:val="0"/>
          <w:sz w:val="24"/>
          <w:szCs w:val="24"/>
        </w:rPr>
        <w:t>3</w:t>
      </w:r>
      <w:r w:rsidRPr="00AB4CBF">
        <w:rPr>
          <w:rFonts w:ascii="宋体" w:hAnsi="宋体" w:cs="宋体" w:hint="eastAsia"/>
          <w:snapToGrid w:val="0"/>
          <w:sz w:val="24"/>
          <w:szCs w:val="24"/>
        </w:rPr>
        <w:t>月</w:t>
      </w:r>
      <w:r>
        <w:rPr>
          <w:rFonts w:ascii="宋体" w:hAnsi="宋体" w:cs="宋体"/>
          <w:snapToGrid w:val="0"/>
          <w:sz w:val="24"/>
          <w:szCs w:val="24"/>
        </w:rPr>
        <w:t>9</w:t>
      </w:r>
      <w:r w:rsidRPr="00AB4CBF">
        <w:rPr>
          <w:rFonts w:ascii="宋体" w:hAnsi="宋体" w:cs="宋体" w:hint="eastAsia"/>
          <w:snapToGrid w:val="0"/>
          <w:sz w:val="24"/>
          <w:szCs w:val="24"/>
        </w:rPr>
        <w:t>日下午</w:t>
      </w:r>
      <w:r w:rsidRPr="00AB4CBF">
        <w:rPr>
          <w:rFonts w:ascii="宋体" w:hAnsi="宋体" w:cs="宋体"/>
          <w:snapToGrid w:val="0"/>
          <w:sz w:val="24"/>
          <w:szCs w:val="24"/>
        </w:rPr>
        <w:t>1</w:t>
      </w:r>
      <w:r>
        <w:rPr>
          <w:rFonts w:ascii="宋体" w:hAnsi="宋体" w:cs="宋体"/>
          <w:snapToGrid w:val="0"/>
          <w:sz w:val="24"/>
          <w:szCs w:val="24"/>
        </w:rPr>
        <w:t>4</w:t>
      </w:r>
      <w:r w:rsidRPr="00AB4CBF">
        <w:rPr>
          <w:rFonts w:ascii="宋体" w:hAnsi="宋体" w:cs="宋体"/>
          <w:snapToGrid w:val="0"/>
          <w:sz w:val="24"/>
          <w:szCs w:val="24"/>
        </w:rPr>
        <w:t>:</w:t>
      </w:r>
      <w:r>
        <w:rPr>
          <w:rFonts w:ascii="宋体" w:hAnsi="宋体" w:cs="宋体"/>
          <w:snapToGrid w:val="0"/>
          <w:sz w:val="24"/>
          <w:szCs w:val="24"/>
        </w:rPr>
        <w:t>5</w:t>
      </w:r>
      <w:r w:rsidRPr="00AB4CBF">
        <w:rPr>
          <w:rFonts w:ascii="宋体" w:cs="宋体"/>
          <w:snapToGrid w:val="0"/>
          <w:sz w:val="24"/>
          <w:szCs w:val="24"/>
        </w:rPr>
        <w:t>0</w:t>
      </w:r>
      <w:r w:rsidRPr="00AB4CBF">
        <w:rPr>
          <w:rFonts w:ascii="宋体" w:hAnsi="宋体" w:cs="宋体" w:hint="eastAsia"/>
          <w:snapToGrid w:val="0"/>
          <w:sz w:val="24"/>
          <w:szCs w:val="24"/>
        </w:rPr>
        <w:t>召开</w:t>
      </w:r>
      <w:r>
        <w:rPr>
          <w:rFonts w:ascii="宋体" w:hAnsi="宋体" w:cs="宋体" w:hint="eastAsia"/>
          <w:snapToGrid w:val="0"/>
          <w:sz w:val="24"/>
          <w:szCs w:val="24"/>
        </w:rPr>
        <w:t>。</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（二）召开地点</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北京市西城区金融大街丙</w:t>
      </w:r>
      <w:r w:rsidRPr="00AB4CBF">
        <w:rPr>
          <w:rFonts w:ascii="宋体" w:hAnsi="宋体" w:cs="宋体"/>
          <w:snapToGrid w:val="0"/>
          <w:sz w:val="24"/>
          <w:szCs w:val="24"/>
        </w:rPr>
        <w:t>17</w:t>
      </w:r>
      <w:r w:rsidRPr="00AB4CBF">
        <w:rPr>
          <w:rFonts w:ascii="宋体" w:hAnsi="宋体" w:cs="宋体" w:hint="eastAsia"/>
          <w:snapToGrid w:val="0"/>
          <w:sz w:val="24"/>
          <w:szCs w:val="24"/>
        </w:rPr>
        <w:t>号北京银行大厦</w:t>
      </w:r>
      <w:r w:rsidRPr="00AB4CBF">
        <w:rPr>
          <w:rFonts w:ascii="宋体" w:hAnsi="宋体" w:cs="宋体"/>
          <w:snapToGrid w:val="0"/>
          <w:sz w:val="24"/>
          <w:szCs w:val="24"/>
        </w:rPr>
        <w:t>11</w:t>
      </w:r>
      <w:r w:rsidRPr="00AB4CBF">
        <w:rPr>
          <w:rFonts w:ascii="宋体" w:hAnsi="宋体" w:cs="宋体" w:hint="eastAsia"/>
          <w:snapToGrid w:val="0"/>
          <w:sz w:val="24"/>
          <w:szCs w:val="24"/>
        </w:rPr>
        <w:t>层第一会议室</w:t>
      </w:r>
      <w:r>
        <w:rPr>
          <w:rFonts w:ascii="宋体" w:hAnsi="宋体" w:cs="宋体" w:hint="eastAsia"/>
          <w:snapToGrid w:val="0"/>
          <w:sz w:val="24"/>
          <w:szCs w:val="24"/>
        </w:rPr>
        <w:t>。</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（三）表决方式</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现场投票与网络表决相结合。本次股东大会通过深圳证券交易所交易系统和互联网投票系统提供网络形式的投票平台</w:t>
      </w:r>
      <w:r>
        <w:rPr>
          <w:rFonts w:ascii="宋体" w:hAnsi="宋体" w:cs="宋体" w:hint="eastAsia"/>
          <w:snapToGrid w:val="0"/>
          <w:sz w:val="24"/>
          <w:szCs w:val="24"/>
        </w:rPr>
        <w:t>。</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（四）召集人：金融街控股股份有限公司第</w:t>
      </w:r>
      <w:r>
        <w:rPr>
          <w:rFonts w:ascii="宋体" w:hAnsi="宋体" w:cs="宋体" w:hint="eastAsia"/>
          <w:snapToGrid w:val="0"/>
          <w:sz w:val="24"/>
          <w:szCs w:val="24"/>
        </w:rPr>
        <w:t>七</w:t>
      </w:r>
      <w:r w:rsidRPr="00AB4CBF">
        <w:rPr>
          <w:rFonts w:ascii="宋体" w:hAnsi="宋体" w:cs="宋体" w:hint="eastAsia"/>
          <w:snapToGrid w:val="0"/>
          <w:sz w:val="24"/>
          <w:szCs w:val="24"/>
        </w:rPr>
        <w:t>届董事会</w:t>
      </w:r>
      <w:r>
        <w:rPr>
          <w:rFonts w:ascii="宋体" w:hAnsi="宋体" w:cs="宋体" w:hint="eastAsia"/>
          <w:snapToGrid w:val="0"/>
          <w:sz w:val="24"/>
          <w:szCs w:val="24"/>
        </w:rPr>
        <w:t>。</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（五）主持人：金融街控股股份有限公司董事长刘世春先生</w:t>
      </w:r>
      <w:r>
        <w:rPr>
          <w:rFonts w:ascii="宋体" w:hAnsi="宋体" w:cs="宋体" w:hint="eastAsia"/>
          <w:snapToGrid w:val="0"/>
          <w:sz w:val="24"/>
          <w:szCs w:val="24"/>
        </w:rPr>
        <w:t>。</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（六）网络投票时间：通过深圳证券交易所交易系统进行网络投票的时间为</w:t>
      </w:r>
      <w:r>
        <w:rPr>
          <w:rFonts w:ascii="宋体" w:hAnsi="宋体" w:cs="宋体"/>
          <w:snapToGrid w:val="0"/>
          <w:sz w:val="24"/>
          <w:szCs w:val="24"/>
        </w:rPr>
        <w:t>2015</w:t>
      </w:r>
      <w:r w:rsidRPr="00AB4CBF">
        <w:rPr>
          <w:rFonts w:ascii="宋体" w:hAnsi="宋体" w:cs="宋体" w:hint="eastAsia"/>
          <w:snapToGrid w:val="0"/>
          <w:sz w:val="24"/>
          <w:szCs w:val="24"/>
        </w:rPr>
        <w:t>年</w:t>
      </w:r>
      <w:r>
        <w:rPr>
          <w:rFonts w:ascii="宋体" w:hAnsi="宋体" w:cs="宋体"/>
          <w:snapToGrid w:val="0"/>
          <w:sz w:val="24"/>
          <w:szCs w:val="24"/>
        </w:rPr>
        <w:t>3</w:t>
      </w:r>
      <w:r w:rsidRPr="00AB4CBF">
        <w:rPr>
          <w:rFonts w:ascii="宋体" w:hAnsi="宋体" w:cs="宋体" w:hint="eastAsia"/>
          <w:snapToGrid w:val="0"/>
          <w:sz w:val="24"/>
          <w:szCs w:val="24"/>
        </w:rPr>
        <w:t>月</w:t>
      </w:r>
      <w:r>
        <w:rPr>
          <w:rFonts w:ascii="宋体" w:hAnsi="宋体" w:cs="宋体"/>
          <w:snapToGrid w:val="0"/>
          <w:sz w:val="24"/>
          <w:szCs w:val="24"/>
        </w:rPr>
        <w:t>9</w:t>
      </w:r>
      <w:r w:rsidRPr="00AB4CBF">
        <w:rPr>
          <w:rFonts w:ascii="宋体" w:hAnsi="宋体" w:cs="宋体" w:hint="eastAsia"/>
          <w:snapToGrid w:val="0"/>
          <w:sz w:val="24"/>
          <w:szCs w:val="24"/>
        </w:rPr>
        <w:t>日上午</w:t>
      </w:r>
      <w:r w:rsidRPr="00AB4CBF">
        <w:rPr>
          <w:rFonts w:ascii="宋体" w:hAnsi="宋体" w:cs="宋体"/>
          <w:snapToGrid w:val="0"/>
          <w:sz w:val="24"/>
          <w:szCs w:val="24"/>
        </w:rPr>
        <w:t>9:30</w:t>
      </w:r>
      <w:r w:rsidRPr="00AB4CBF">
        <w:rPr>
          <w:rFonts w:ascii="宋体" w:hAnsi="宋体" w:cs="宋体" w:hint="eastAsia"/>
          <w:snapToGrid w:val="0"/>
          <w:sz w:val="24"/>
          <w:szCs w:val="24"/>
        </w:rPr>
        <w:t>～</w:t>
      </w:r>
      <w:r w:rsidRPr="00AB4CBF">
        <w:rPr>
          <w:rFonts w:ascii="宋体" w:hAnsi="宋体" w:cs="宋体"/>
          <w:snapToGrid w:val="0"/>
          <w:sz w:val="24"/>
          <w:szCs w:val="24"/>
        </w:rPr>
        <w:t>11:30</w:t>
      </w:r>
      <w:r w:rsidRPr="00AB4CBF">
        <w:rPr>
          <w:rFonts w:ascii="宋体" w:hAnsi="宋体" w:cs="宋体" w:hint="eastAsia"/>
          <w:snapToGrid w:val="0"/>
          <w:sz w:val="24"/>
          <w:szCs w:val="24"/>
        </w:rPr>
        <w:t>，下午</w:t>
      </w:r>
      <w:r w:rsidRPr="00AB4CBF">
        <w:rPr>
          <w:rFonts w:ascii="宋体" w:hAnsi="宋体" w:cs="宋体"/>
          <w:snapToGrid w:val="0"/>
          <w:sz w:val="24"/>
          <w:szCs w:val="24"/>
        </w:rPr>
        <w:t>13:00</w:t>
      </w:r>
      <w:r w:rsidRPr="00AB4CBF">
        <w:rPr>
          <w:rFonts w:ascii="宋体" w:hAnsi="宋体" w:cs="宋体" w:hint="eastAsia"/>
          <w:snapToGrid w:val="0"/>
          <w:sz w:val="24"/>
          <w:szCs w:val="24"/>
        </w:rPr>
        <w:t>～</w:t>
      </w:r>
      <w:r w:rsidRPr="00AB4CBF">
        <w:rPr>
          <w:rFonts w:ascii="宋体" w:hAnsi="宋体" w:cs="宋体"/>
          <w:snapToGrid w:val="0"/>
          <w:sz w:val="24"/>
          <w:szCs w:val="24"/>
        </w:rPr>
        <w:t>15:00</w:t>
      </w:r>
      <w:r w:rsidRPr="00AB4CBF">
        <w:rPr>
          <w:rFonts w:ascii="宋体" w:hAnsi="宋体" w:cs="宋体" w:hint="eastAsia"/>
          <w:snapToGrid w:val="0"/>
          <w:sz w:val="24"/>
          <w:szCs w:val="24"/>
        </w:rPr>
        <w:t>；通过深圳证券交易所互联网投票系统投票的时间为</w:t>
      </w:r>
      <w:r>
        <w:rPr>
          <w:rFonts w:ascii="宋体" w:hAnsi="宋体" w:cs="宋体"/>
          <w:snapToGrid w:val="0"/>
          <w:sz w:val="24"/>
          <w:szCs w:val="24"/>
        </w:rPr>
        <w:t>2015</w:t>
      </w:r>
      <w:r w:rsidRPr="00AB4CBF">
        <w:rPr>
          <w:rFonts w:ascii="宋体" w:hAnsi="宋体" w:cs="宋体" w:hint="eastAsia"/>
          <w:snapToGrid w:val="0"/>
          <w:sz w:val="24"/>
          <w:szCs w:val="24"/>
        </w:rPr>
        <w:t>年</w:t>
      </w:r>
      <w:r>
        <w:rPr>
          <w:rFonts w:ascii="宋体" w:hAnsi="宋体" w:cs="宋体"/>
          <w:snapToGrid w:val="0"/>
          <w:sz w:val="24"/>
          <w:szCs w:val="24"/>
        </w:rPr>
        <w:t>3</w:t>
      </w:r>
      <w:r w:rsidRPr="00AB4CBF">
        <w:rPr>
          <w:rFonts w:ascii="宋体" w:hAnsi="宋体" w:cs="宋体" w:hint="eastAsia"/>
          <w:snapToGrid w:val="0"/>
          <w:sz w:val="24"/>
          <w:szCs w:val="24"/>
        </w:rPr>
        <w:t>月</w:t>
      </w:r>
      <w:r>
        <w:rPr>
          <w:rFonts w:ascii="宋体" w:hAnsi="宋体" w:cs="宋体"/>
          <w:snapToGrid w:val="0"/>
          <w:sz w:val="24"/>
          <w:szCs w:val="24"/>
        </w:rPr>
        <w:t>8</w:t>
      </w:r>
      <w:r w:rsidRPr="00AB4CBF">
        <w:rPr>
          <w:rFonts w:ascii="宋体" w:hAnsi="宋体" w:cs="宋体" w:hint="eastAsia"/>
          <w:snapToGrid w:val="0"/>
          <w:sz w:val="24"/>
          <w:szCs w:val="24"/>
        </w:rPr>
        <w:t>日下午</w:t>
      </w:r>
      <w:r w:rsidRPr="00AB4CBF">
        <w:rPr>
          <w:rFonts w:ascii="宋体" w:hAnsi="宋体" w:cs="宋体"/>
          <w:snapToGrid w:val="0"/>
          <w:sz w:val="24"/>
          <w:szCs w:val="24"/>
        </w:rPr>
        <w:t>15:00</w:t>
      </w:r>
      <w:r w:rsidRPr="00AB4CBF">
        <w:rPr>
          <w:rFonts w:ascii="宋体" w:hAnsi="宋体" w:cs="宋体" w:hint="eastAsia"/>
          <w:snapToGrid w:val="0"/>
          <w:sz w:val="24"/>
          <w:szCs w:val="24"/>
        </w:rPr>
        <w:t>至</w:t>
      </w:r>
      <w:r>
        <w:rPr>
          <w:rFonts w:ascii="宋体" w:hAnsi="宋体" w:cs="宋体"/>
          <w:snapToGrid w:val="0"/>
          <w:sz w:val="24"/>
          <w:szCs w:val="24"/>
        </w:rPr>
        <w:t>2015</w:t>
      </w:r>
      <w:r w:rsidRPr="00AB4CBF">
        <w:rPr>
          <w:rFonts w:ascii="宋体" w:hAnsi="宋体" w:cs="宋体" w:hint="eastAsia"/>
          <w:snapToGrid w:val="0"/>
          <w:sz w:val="24"/>
          <w:szCs w:val="24"/>
        </w:rPr>
        <w:t>年</w:t>
      </w:r>
      <w:r>
        <w:rPr>
          <w:rFonts w:ascii="宋体" w:hAnsi="宋体" w:cs="宋体"/>
          <w:snapToGrid w:val="0"/>
          <w:sz w:val="24"/>
          <w:szCs w:val="24"/>
        </w:rPr>
        <w:t>3</w:t>
      </w:r>
      <w:r w:rsidRPr="00AB4CBF">
        <w:rPr>
          <w:rFonts w:ascii="宋体" w:hAnsi="宋体" w:cs="宋体" w:hint="eastAsia"/>
          <w:snapToGrid w:val="0"/>
          <w:sz w:val="24"/>
          <w:szCs w:val="24"/>
        </w:rPr>
        <w:t>月</w:t>
      </w:r>
      <w:r>
        <w:rPr>
          <w:rFonts w:ascii="宋体" w:hAnsi="宋体" w:cs="宋体"/>
          <w:snapToGrid w:val="0"/>
          <w:sz w:val="24"/>
          <w:szCs w:val="24"/>
        </w:rPr>
        <w:t>9</w:t>
      </w:r>
      <w:r w:rsidRPr="00AB4CBF">
        <w:rPr>
          <w:rFonts w:ascii="宋体" w:hAnsi="宋体" w:cs="宋体" w:hint="eastAsia"/>
          <w:snapToGrid w:val="0"/>
          <w:sz w:val="24"/>
          <w:szCs w:val="24"/>
        </w:rPr>
        <w:t>日下午</w:t>
      </w:r>
      <w:r w:rsidRPr="00AB4CBF">
        <w:rPr>
          <w:rFonts w:ascii="宋体" w:hAnsi="宋体" w:cs="宋体"/>
          <w:snapToGrid w:val="0"/>
          <w:sz w:val="24"/>
          <w:szCs w:val="24"/>
        </w:rPr>
        <w:t>15:00</w:t>
      </w:r>
      <w:r>
        <w:rPr>
          <w:rFonts w:ascii="宋体" w:hAnsi="宋体" w:cs="宋体" w:hint="eastAsia"/>
          <w:snapToGrid w:val="0"/>
          <w:sz w:val="24"/>
          <w:szCs w:val="24"/>
        </w:rPr>
        <w:t>。</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（七）会议的召开</w:t>
      </w:r>
    </w:p>
    <w:p w:rsidR="000D7D56" w:rsidRPr="00AB4CBF" w:rsidRDefault="000D7D56" w:rsidP="00353BBE">
      <w:pPr>
        <w:spacing w:line="500" w:lineRule="atLeast"/>
        <w:ind w:firstLineChars="200" w:firstLine="31680"/>
        <w:rPr>
          <w:rFonts w:ascii="宋体"/>
          <w:snapToGrid w:val="0"/>
          <w:sz w:val="24"/>
          <w:szCs w:val="24"/>
        </w:rPr>
      </w:pPr>
      <w:r w:rsidRPr="00AB4CBF">
        <w:rPr>
          <w:rFonts w:ascii="宋体" w:hAnsi="宋体" w:cs="宋体" w:hint="eastAsia"/>
          <w:snapToGrid w:val="0"/>
          <w:sz w:val="24"/>
          <w:szCs w:val="24"/>
        </w:rPr>
        <w:t>本次出席会议的股东及股东代表共</w:t>
      </w:r>
      <w:r w:rsidRPr="00680DFA">
        <w:rPr>
          <w:rFonts w:ascii="宋体" w:hAnsi="宋体" w:cs="宋体"/>
          <w:snapToGrid w:val="0"/>
          <w:sz w:val="24"/>
          <w:szCs w:val="24"/>
        </w:rPr>
        <w:t>39</w:t>
      </w:r>
      <w:r w:rsidRPr="00680DFA">
        <w:rPr>
          <w:rFonts w:ascii="宋体" w:hAnsi="宋体" w:cs="宋体" w:hint="eastAsia"/>
          <w:snapToGrid w:val="0"/>
          <w:sz w:val="24"/>
          <w:szCs w:val="24"/>
        </w:rPr>
        <w:t>人，持有和代表股份</w:t>
      </w:r>
      <w:r w:rsidRPr="00680DFA">
        <w:rPr>
          <w:rFonts w:ascii="宋体" w:hAnsi="宋体" w:cs="宋体"/>
          <w:snapToGrid w:val="0"/>
          <w:sz w:val="24"/>
          <w:szCs w:val="24"/>
        </w:rPr>
        <w:t>1,524,029,307</w:t>
      </w:r>
      <w:r w:rsidRPr="00680DFA">
        <w:rPr>
          <w:rFonts w:ascii="宋体" w:hAnsi="宋体" w:cs="宋体" w:hint="eastAsia"/>
          <w:snapToGrid w:val="0"/>
          <w:sz w:val="24"/>
          <w:szCs w:val="24"/>
        </w:rPr>
        <w:t>股，占公司有表决权总股份的</w:t>
      </w:r>
      <w:r w:rsidRPr="00680DFA">
        <w:rPr>
          <w:rFonts w:ascii="宋体" w:hAnsi="宋体" w:cs="宋体"/>
          <w:snapToGrid w:val="0"/>
          <w:sz w:val="24"/>
          <w:szCs w:val="24"/>
        </w:rPr>
        <w:t>50.989128%</w:t>
      </w:r>
      <w:r w:rsidRPr="00AB4CBF">
        <w:rPr>
          <w:rFonts w:ascii="宋体" w:hAnsi="宋体" w:cs="宋体" w:hint="eastAsia"/>
          <w:snapToGrid w:val="0"/>
          <w:sz w:val="24"/>
          <w:szCs w:val="24"/>
        </w:rPr>
        <w:t>，符合《公司法》、《股票上市规则》和《公司章程》的有关规定，会议合法有效。公司董事、监事</w:t>
      </w:r>
      <w:r>
        <w:rPr>
          <w:rFonts w:ascii="宋体" w:hAnsi="宋体" w:cs="宋体" w:hint="eastAsia"/>
          <w:snapToGrid w:val="0"/>
          <w:sz w:val="24"/>
          <w:szCs w:val="24"/>
        </w:rPr>
        <w:t>出席了会议，独立董事候选人以及部分高级管理人员列席</w:t>
      </w:r>
      <w:r w:rsidRPr="00AB4CBF">
        <w:rPr>
          <w:rFonts w:ascii="宋体" w:hAnsi="宋体" w:cs="宋体" w:hint="eastAsia"/>
          <w:snapToGrid w:val="0"/>
          <w:sz w:val="24"/>
          <w:szCs w:val="24"/>
        </w:rPr>
        <w:t>了会议。应公司邀请，北京观韬律师事务所指派律师见证了本次会议，相关中介机构</w:t>
      </w:r>
      <w:r>
        <w:rPr>
          <w:rFonts w:ascii="宋体" w:hAnsi="宋体" w:cs="宋体" w:hint="eastAsia"/>
          <w:snapToGrid w:val="0"/>
          <w:sz w:val="24"/>
          <w:szCs w:val="24"/>
        </w:rPr>
        <w:t>人员</w:t>
      </w:r>
      <w:r w:rsidRPr="00AB4CBF">
        <w:rPr>
          <w:rFonts w:ascii="宋体" w:hAnsi="宋体" w:cs="宋体" w:hint="eastAsia"/>
          <w:snapToGrid w:val="0"/>
          <w:sz w:val="24"/>
          <w:szCs w:val="24"/>
        </w:rPr>
        <w:t>列席了本次会议。</w:t>
      </w:r>
    </w:p>
    <w:p w:rsidR="000D7D56" w:rsidRPr="00AB4CBF" w:rsidRDefault="000D7D56" w:rsidP="00353BBE">
      <w:pPr>
        <w:spacing w:line="500" w:lineRule="atLeast"/>
        <w:ind w:firstLineChars="184" w:firstLine="31680"/>
        <w:rPr>
          <w:rFonts w:ascii="宋体"/>
          <w:b/>
          <w:bCs/>
          <w:snapToGrid w:val="0"/>
          <w:sz w:val="24"/>
          <w:szCs w:val="24"/>
        </w:rPr>
      </w:pPr>
      <w:r w:rsidRPr="00AB4CBF">
        <w:rPr>
          <w:rFonts w:ascii="宋体" w:hAnsi="宋体" w:cs="宋体" w:hint="eastAsia"/>
          <w:b/>
          <w:bCs/>
          <w:snapToGrid w:val="0"/>
          <w:sz w:val="24"/>
          <w:szCs w:val="24"/>
        </w:rPr>
        <w:t>三、会议的出席情况</w:t>
      </w:r>
    </w:p>
    <w:p w:rsidR="000D7D56" w:rsidRPr="00AB4CBF" w:rsidRDefault="000D7D56" w:rsidP="00353BBE">
      <w:pPr>
        <w:spacing w:line="500" w:lineRule="atLeast"/>
        <w:ind w:firstLineChars="184" w:firstLine="31680"/>
        <w:rPr>
          <w:rFonts w:ascii="宋体"/>
          <w:snapToGrid w:val="0"/>
          <w:sz w:val="24"/>
          <w:szCs w:val="24"/>
        </w:rPr>
      </w:pPr>
      <w:r w:rsidRPr="00AB4CBF">
        <w:rPr>
          <w:rFonts w:ascii="宋体" w:hAnsi="宋体" w:cs="宋体" w:hint="eastAsia"/>
          <w:snapToGrid w:val="0"/>
          <w:sz w:val="24"/>
          <w:szCs w:val="24"/>
        </w:rPr>
        <w:t>（一）出席的总体情况：</w:t>
      </w:r>
    </w:p>
    <w:p w:rsidR="000D7D56" w:rsidRPr="00680DFA" w:rsidRDefault="000D7D56" w:rsidP="00353BBE">
      <w:pPr>
        <w:spacing w:line="500" w:lineRule="atLeast"/>
        <w:ind w:firstLineChars="184" w:firstLine="31680"/>
        <w:rPr>
          <w:rFonts w:ascii="宋体"/>
          <w:snapToGrid w:val="0"/>
          <w:sz w:val="24"/>
          <w:szCs w:val="24"/>
        </w:rPr>
      </w:pPr>
      <w:r w:rsidRPr="00680DFA">
        <w:rPr>
          <w:rFonts w:ascii="宋体" w:hAnsi="宋体" w:cs="宋体" w:hint="eastAsia"/>
          <w:snapToGrid w:val="0"/>
          <w:sz w:val="24"/>
          <w:szCs w:val="24"/>
        </w:rPr>
        <w:t>参加和授权代理人参加本次股东大会现场会议和网络投票的股东共</w:t>
      </w:r>
      <w:r w:rsidRPr="00680DFA">
        <w:rPr>
          <w:rFonts w:ascii="宋体" w:hAnsi="宋体" w:cs="宋体"/>
          <w:snapToGrid w:val="0"/>
          <w:sz w:val="24"/>
          <w:szCs w:val="24"/>
        </w:rPr>
        <w:t>39</w:t>
      </w:r>
      <w:r w:rsidRPr="00680DFA">
        <w:rPr>
          <w:rFonts w:ascii="宋体" w:hAnsi="宋体" w:cs="宋体" w:hint="eastAsia"/>
          <w:snapToGrid w:val="0"/>
          <w:sz w:val="24"/>
          <w:szCs w:val="24"/>
        </w:rPr>
        <w:t>人，持有和代表股份</w:t>
      </w:r>
      <w:r w:rsidRPr="00680DFA">
        <w:rPr>
          <w:rFonts w:ascii="宋体" w:hAnsi="宋体" w:cs="宋体"/>
          <w:snapToGrid w:val="0"/>
          <w:sz w:val="24"/>
          <w:szCs w:val="24"/>
        </w:rPr>
        <w:t>1,524,029,307</w:t>
      </w:r>
      <w:r w:rsidRPr="00680DFA">
        <w:rPr>
          <w:rFonts w:ascii="宋体" w:hAnsi="宋体" w:cs="宋体" w:hint="eastAsia"/>
          <w:snapToGrid w:val="0"/>
          <w:sz w:val="24"/>
          <w:szCs w:val="24"/>
        </w:rPr>
        <w:t>股，占公司有表决权总股份的</w:t>
      </w:r>
      <w:r w:rsidRPr="00680DFA">
        <w:rPr>
          <w:rFonts w:ascii="宋体" w:hAnsi="宋体" w:cs="宋体"/>
          <w:snapToGrid w:val="0"/>
          <w:sz w:val="24"/>
          <w:szCs w:val="24"/>
        </w:rPr>
        <w:t>50.989128%</w:t>
      </w:r>
      <w:r w:rsidRPr="00680DFA">
        <w:rPr>
          <w:rFonts w:ascii="宋体" w:hAnsi="宋体" w:cs="宋体" w:hint="eastAsia"/>
          <w:snapToGrid w:val="0"/>
          <w:sz w:val="24"/>
          <w:szCs w:val="24"/>
        </w:rPr>
        <w:t>。</w:t>
      </w:r>
    </w:p>
    <w:p w:rsidR="000D7D56" w:rsidRPr="00680DFA" w:rsidRDefault="000D7D56" w:rsidP="00353BBE">
      <w:pPr>
        <w:spacing w:line="500" w:lineRule="atLeast"/>
        <w:ind w:firstLineChars="184" w:firstLine="31680"/>
        <w:rPr>
          <w:rFonts w:ascii="宋体"/>
          <w:snapToGrid w:val="0"/>
          <w:sz w:val="24"/>
          <w:szCs w:val="24"/>
        </w:rPr>
      </w:pPr>
      <w:r w:rsidRPr="00680DFA">
        <w:rPr>
          <w:rFonts w:ascii="宋体" w:hAnsi="宋体" w:cs="宋体" w:hint="eastAsia"/>
          <w:snapToGrid w:val="0"/>
          <w:sz w:val="24"/>
          <w:szCs w:val="24"/>
        </w:rPr>
        <w:t>（二）现场会议出席情况：</w:t>
      </w:r>
    </w:p>
    <w:p w:rsidR="000D7D56" w:rsidRPr="00680DFA" w:rsidRDefault="000D7D56" w:rsidP="00353BBE">
      <w:pPr>
        <w:spacing w:line="500" w:lineRule="atLeast"/>
        <w:ind w:firstLineChars="184" w:firstLine="31680"/>
        <w:rPr>
          <w:rFonts w:ascii="宋体"/>
          <w:snapToGrid w:val="0"/>
          <w:sz w:val="24"/>
          <w:szCs w:val="24"/>
        </w:rPr>
      </w:pPr>
      <w:r w:rsidRPr="00680DFA">
        <w:rPr>
          <w:rFonts w:ascii="宋体" w:hAnsi="宋体" w:cs="宋体" w:hint="eastAsia"/>
          <w:snapToGrid w:val="0"/>
          <w:sz w:val="24"/>
          <w:szCs w:val="24"/>
        </w:rPr>
        <w:t>参加和授权代理人参加本次股东大会现场会议的股东共</w:t>
      </w:r>
      <w:r w:rsidRPr="00680DFA">
        <w:rPr>
          <w:rFonts w:ascii="宋体" w:hAnsi="宋体" w:cs="宋体"/>
          <w:snapToGrid w:val="0"/>
          <w:sz w:val="24"/>
          <w:szCs w:val="24"/>
        </w:rPr>
        <w:t>18</w:t>
      </w:r>
      <w:r w:rsidRPr="00680DFA">
        <w:rPr>
          <w:rFonts w:ascii="宋体" w:hAnsi="宋体" w:cs="宋体" w:hint="eastAsia"/>
          <w:snapToGrid w:val="0"/>
          <w:sz w:val="24"/>
          <w:szCs w:val="24"/>
        </w:rPr>
        <w:t>人</w:t>
      </w:r>
      <w:r w:rsidRPr="00680DFA">
        <w:rPr>
          <w:rFonts w:ascii="宋体" w:cs="宋体"/>
          <w:snapToGrid w:val="0"/>
          <w:sz w:val="24"/>
          <w:szCs w:val="24"/>
        </w:rPr>
        <w:t>,</w:t>
      </w:r>
      <w:r w:rsidRPr="00680DFA">
        <w:rPr>
          <w:rFonts w:ascii="宋体" w:hAnsi="宋体" w:cs="宋体" w:hint="eastAsia"/>
          <w:snapToGrid w:val="0"/>
          <w:sz w:val="24"/>
          <w:szCs w:val="24"/>
        </w:rPr>
        <w:t>代表股份</w:t>
      </w:r>
      <w:r w:rsidRPr="00680DFA">
        <w:rPr>
          <w:rFonts w:ascii="宋体" w:hAnsi="宋体" w:cs="宋体"/>
          <w:snapToGrid w:val="0"/>
          <w:sz w:val="24"/>
          <w:szCs w:val="24"/>
        </w:rPr>
        <w:t>1,504,424,108</w:t>
      </w:r>
      <w:r w:rsidRPr="00680DFA">
        <w:rPr>
          <w:rFonts w:ascii="宋体" w:hAnsi="宋体" w:cs="宋体" w:hint="eastAsia"/>
          <w:snapToGrid w:val="0"/>
          <w:sz w:val="24"/>
          <w:szCs w:val="24"/>
        </w:rPr>
        <w:t>股</w:t>
      </w:r>
      <w:r w:rsidRPr="00680DFA">
        <w:rPr>
          <w:rFonts w:ascii="宋体" w:cs="宋体"/>
          <w:snapToGrid w:val="0"/>
          <w:sz w:val="24"/>
          <w:szCs w:val="24"/>
        </w:rPr>
        <w:t>,</w:t>
      </w:r>
      <w:r w:rsidRPr="00680DFA">
        <w:rPr>
          <w:rFonts w:ascii="宋体" w:hAnsi="宋体" w:cs="宋体" w:hint="eastAsia"/>
          <w:snapToGrid w:val="0"/>
          <w:sz w:val="24"/>
          <w:szCs w:val="24"/>
        </w:rPr>
        <w:t>占公司有表决权总股份的</w:t>
      </w:r>
      <w:r w:rsidRPr="00680DFA">
        <w:rPr>
          <w:rFonts w:ascii="宋体" w:hAnsi="宋体" w:cs="宋体"/>
          <w:snapToGrid w:val="0"/>
          <w:sz w:val="24"/>
          <w:szCs w:val="24"/>
        </w:rPr>
        <w:t>50.333201%</w:t>
      </w:r>
      <w:r w:rsidRPr="00680DFA">
        <w:rPr>
          <w:rFonts w:ascii="宋体" w:hAnsi="宋体" w:cs="宋体" w:hint="eastAsia"/>
          <w:snapToGrid w:val="0"/>
          <w:sz w:val="24"/>
          <w:szCs w:val="24"/>
        </w:rPr>
        <w:t>。</w:t>
      </w:r>
    </w:p>
    <w:p w:rsidR="000D7D56" w:rsidRPr="00680DFA" w:rsidRDefault="000D7D56" w:rsidP="00353BBE">
      <w:pPr>
        <w:spacing w:line="500" w:lineRule="atLeast"/>
        <w:ind w:firstLineChars="184" w:firstLine="31680"/>
        <w:rPr>
          <w:rFonts w:ascii="宋体"/>
          <w:snapToGrid w:val="0"/>
          <w:sz w:val="24"/>
          <w:szCs w:val="24"/>
        </w:rPr>
      </w:pPr>
      <w:r w:rsidRPr="00680DFA">
        <w:rPr>
          <w:rFonts w:ascii="宋体" w:hAnsi="宋体" w:cs="宋体" w:hint="eastAsia"/>
          <w:snapToGrid w:val="0"/>
          <w:sz w:val="24"/>
          <w:szCs w:val="24"/>
        </w:rPr>
        <w:t>（三）网络投票情况：</w:t>
      </w:r>
    </w:p>
    <w:p w:rsidR="000D7D56" w:rsidRPr="00680DFA" w:rsidRDefault="000D7D56" w:rsidP="00353BBE">
      <w:pPr>
        <w:spacing w:line="500" w:lineRule="atLeast"/>
        <w:ind w:firstLineChars="184" w:firstLine="31680"/>
        <w:rPr>
          <w:rFonts w:ascii="宋体"/>
          <w:snapToGrid w:val="0"/>
          <w:sz w:val="24"/>
          <w:szCs w:val="24"/>
        </w:rPr>
      </w:pPr>
      <w:r w:rsidRPr="00680DFA">
        <w:rPr>
          <w:rFonts w:ascii="宋体" w:hAnsi="宋体" w:cs="宋体" w:hint="eastAsia"/>
          <w:snapToGrid w:val="0"/>
          <w:sz w:val="24"/>
          <w:szCs w:val="24"/>
        </w:rPr>
        <w:t>参加本次股东大会网络投票的股东共</w:t>
      </w:r>
      <w:r w:rsidRPr="00680DFA">
        <w:rPr>
          <w:rFonts w:ascii="宋体" w:hAnsi="宋体" w:cs="宋体"/>
          <w:snapToGrid w:val="0"/>
          <w:sz w:val="24"/>
          <w:szCs w:val="24"/>
        </w:rPr>
        <w:t>21</w:t>
      </w:r>
      <w:r w:rsidRPr="00680DFA">
        <w:rPr>
          <w:rFonts w:ascii="宋体" w:hAnsi="宋体" w:cs="宋体" w:hint="eastAsia"/>
          <w:snapToGrid w:val="0"/>
          <w:sz w:val="24"/>
          <w:szCs w:val="24"/>
        </w:rPr>
        <w:t>人，代表股份</w:t>
      </w:r>
      <w:r w:rsidRPr="00680DFA">
        <w:rPr>
          <w:rFonts w:ascii="宋体" w:hAnsi="宋体" w:cs="宋体"/>
          <w:snapToGrid w:val="0"/>
          <w:sz w:val="24"/>
          <w:szCs w:val="24"/>
        </w:rPr>
        <w:t>19,605,199</w:t>
      </w:r>
      <w:r w:rsidRPr="00680DFA">
        <w:rPr>
          <w:rFonts w:ascii="宋体" w:hAnsi="宋体" w:cs="宋体" w:hint="eastAsia"/>
          <w:snapToGrid w:val="0"/>
          <w:sz w:val="24"/>
          <w:szCs w:val="24"/>
        </w:rPr>
        <w:t>股，占公司有表决权总股份的</w:t>
      </w:r>
      <w:r w:rsidRPr="00680DFA">
        <w:rPr>
          <w:rFonts w:ascii="宋体" w:hAnsi="宋体" w:cs="宋体"/>
          <w:snapToGrid w:val="0"/>
          <w:sz w:val="24"/>
          <w:szCs w:val="24"/>
        </w:rPr>
        <w:t>0.655927%</w:t>
      </w:r>
      <w:r w:rsidRPr="00680DFA">
        <w:rPr>
          <w:rFonts w:ascii="宋体" w:hAnsi="宋体" w:cs="宋体" w:hint="eastAsia"/>
          <w:snapToGrid w:val="0"/>
          <w:sz w:val="24"/>
          <w:szCs w:val="24"/>
        </w:rPr>
        <w:t>。</w:t>
      </w:r>
    </w:p>
    <w:p w:rsidR="000D7D56" w:rsidRPr="00AB4CBF" w:rsidRDefault="000D7D56" w:rsidP="00353BBE">
      <w:pPr>
        <w:spacing w:line="500" w:lineRule="atLeast"/>
        <w:ind w:firstLineChars="184" w:firstLine="31680"/>
        <w:rPr>
          <w:rFonts w:ascii="宋体"/>
          <w:b/>
          <w:bCs/>
          <w:snapToGrid w:val="0"/>
          <w:sz w:val="24"/>
          <w:szCs w:val="24"/>
        </w:rPr>
      </w:pPr>
      <w:r w:rsidRPr="00AB4CBF">
        <w:rPr>
          <w:rFonts w:ascii="宋体" w:hAnsi="宋体" w:cs="宋体" w:hint="eastAsia"/>
          <w:b/>
          <w:bCs/>
          <w:snapToGrid w:val="0"/>
          <w:sz w:val="24"/>
          <w:szCs w:val="24"/>
        </w:rPr>
        <w:t>四、提案审议和表决情况</w:t>
      </w:r>
    </w:p>
    <w:p w:rsidR="000D7D56" w:rsidRPr="00FC781C" w:rsidRDefault="000D7D56" w:rsidP="00353BBE">
      <w:pPr>
        <w:spacing w:line="500" w:lineRule="atLeast"/>
        <w:ind w:leftChars="100" w:left="31680" w:firstLineChars="200" w:firstLine="31680"/>
        <w:rPr>
          <w:rFonts w:ascii="宋体"/>
          <w:snapToGrid w:val="0"/>
          <w:sz w:val="24"/>
          <w:szCs w:val="24"/>
        </w:rPr>
      </w:pPr>
      <w:r w:rsidRPr="00FC781C">
        <w:rPr>
          <w:rFonts w:ascii="宋体" w:hAnsi="宋体" w:cs="宋体" w:hint="eastAsia"/>
          <w:snapToGrid w:val="0"/>
          <w:sz w:val="24"/>
          <w:szCs w:val="24"/>
        </w:rPr>
        <w:t>（一）审议公司董事会提出的第七届董事会独立董事候选人提案。</w:t>
      </w:r>
    </w:p>
    <w:p w:rsidR="000D7D56" w:rsidRPr="00FC781C" w:rsidRDefault="000D7D56" w:rsidP="00353BBE">
      <w:pPr>
        <w:tabs>
          <w:tab w:val="left" w:pos="2376"/>
        </w:tabs>
        <w:spacing w:line="500" w:lineRule="atLeast"/>
        <w:ind w:leftChars="100" w:left="31680" w:firstLineChars="200" w:firstLine="31680"/>
        <w:rPr>
          <w:rFonts w:ascii="宋体"/>
          <w:snapToGrid w:val="0"/>
          <w:sz w:val="24"/>
          <w:szCs w:val="24"/>
        </w:rPr>
      </w:pPr>
      <w:r w:rsidRPr="00FC781C">
        <w:rPr>
          <w:rFonts w:ascii="宋体" w:hAnsi="宋体" w:cs="宋体"/>
          <w:snapToGrid w:val="0"/>
          <w:sz w:val="24"/>
          <w:szCs w:val="24"/>
        </w:rPr>
        <w:t>1.</w:t>
      </w:r>
      <w:r w:rsidRPr="00FC781C">
        <w:rPr>
          <w:rFonts w:ascii="宋体" w:hAnsi="宋体" w:cs="宋体" w:hint="eastAsia"/>
          <w:snapToGrid w:val="0"/>
          <w:sz w:val="24"/>
          <w:szCs w:val="24"/>
        </w:rPr>
        <w:t>表决情况</w:t>
      </w:r>
      <w:r>
        <w:rPr>
          <w:rFonts w:ascii="宋体"/>
          <w:snapToGrid w:val="0"/>
          <w:sz w:val="24"/>
          <w:szCs w:val="24"/>
        </w:rPr>
        <w:tab/>
      </w:r>
    </w:p>
    <w:bookmarkStart w:id="0" w:name="_MON_1487411912"/>
    <w:bookmarkEnd w:id="0"/>
    <w:p w:rsidR="000D7D56" w:rsidRPr="00FC781C" w:rsidRDefault="000D7D56" w:rsidP="00353BBE">
      <w:pPr>
        <w:spacing w:line="500" w:lineRule="atLeast"/>
        <w:ind w:leftChars="-71" w:left="31680" w:hangingChars="148" w:firstLine="31680"/>
        <w:rPr>
          <w:rFonts w:ascii="宋体"/>
          <w:snapToGrid w:val="0"/>
          <w:sz w:val="24"/>
          <w:szCs w:val="24"/>
        </w:rPr>
      </w:pPr>
      <w:r w:rsidRPr="00E13C4B">
        <w:rPr>
          <w:rFonts w:ascii="宋体" w:hAnsi="宋体" w:cs="宋体" w:hint="eastAsia"/>
          <w:snapToGrid w:val="0"/>
          <w:sz w:val="24"/>
          <w:szCs w:val="24"/>
        </w:rPr>
        <w:object w:dxaOrig="10026" w:dyaOrig="3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56pt" o:ole="">
            <v:imagedata r:id="rId6" o:title=""/>
          </v:shape>
          <o:OLEObject Type="Embed" ProgID="Msxml2.SAXXMLReader.5.0" ShapeID="_x0000_i1025" DrawAspect="Content" ObjectID="_1487428144" r:id="rId7"/>
        </w:object>
      </w:r>
      <w:r w:rsidRPr="00FC781C">
        <w:rPr>
          <w:rFonts w:ascii="宋体" w:hAnsi="宋体" w:cs="宋体"/>
          <w:snapToGrid w:val="0"/>
          <w:sz w:val="24"/>
          <w:szCs w:val="24"/>
        </w:rPr>
        <w:t xml:space="preserve">    </w:t>
      </w:r>
      <w:r w:rsidRPr="00FC781C">
        <w:rPr>
          <w:rFonts w:ascii="宋体" w:hAnsi="宋体" w:cs="宋体" w:hint="eastAsia"/>
          <w:snapToGrid w:val="0"/>
          <w:sz w:val="24"/>
          <w:szCs w:val="24"/>
        </w:rPr>
        <w:t>备注：单独或合计持股</w:t>
      </w:r>
      <w:r w:rsidRPr="00FC781C">
        <w:rPr>
          <w:rFonts w:ascii="宋体" w:hAnsi="宋体" w:cs="宋体"/>
          <w:snapToGrid w:val="0"/>
          <w:sz w:val="24"/>
          <w:szCs w:val="24"/>
        </w:rPr>
        <w:t>5%</w:t>
      </w:r>
      <w:r w:rsidRPr="00FC781C">
        <w:rPr>
          <w:rFonts w:ascii="宋体" w:hAnsi="宋体" w:cs="宋体" w:hint="eastAsia"/>
          <w:snapToGrid w:val="0"/>
          <w:sz w:val="24"/>
          <w:szCs w:val="24"/>
        </w:rPr>
        <w:t>及以上股东指北京金融街投资（集团）有限公司及其一致行动人，合计持有公司股份数为</w:t>
      </w:r>
      <w:r w:rsidRPr="00FC781C">
        <w:rPr>
          <w:rFonts w:ascii="宋体" w:hAnsi="宋体" w:cs="宋体"/>
          <w:snapToGrid w:val="0"/>
          <w:sz w:val="24"/>
          <w:szCs w:val="24"/>
        </w:rPr>
        <w:t>30.12%</w:t>
      </w:r>
      <w:r w:rsidRPr="00FC781C">
        <w:rPr>
          <w:rFonts w:ascii="宋体" w:hAnsi="宋体" w:cs="宋体" w:hint="eastAsia"/>
          <w:snapToGrid w:val="0"/>
          <w:sz w:val="24"/>
          <w:szCs w:val="24"/>
        </w:rPr>
        <w:t>；和谐健康保险股份有限公司</w:t>
      </w:r>
      <w:r w:rsidRPr="00FC781C">
        <w:rPr>
          <w:rFonts w:ascii="宋体" w:hAnsi="宋体" w:cs="宋体"/>
          <w:snapToGrid w:val="0"/>
          <w:sz w:val="24"/>
          <w:szCs w:val="24"/>
        </w:rPr>
        <w:t>——</w:t>
      </w:r>
      <w:r w:rsidRPr="00FC781C">
        <w:rPr>
          <w:rFonts w:ascii="宋体" w:hAnsi="宋体" w:cs="宋体" w:hint="eastAsia"/>
          <w:snapToGrid w:val="0"/>
          <w:sz w:val="24"/>
          <w:szCs w:val="24"/>
        </w:rPr>
        <w:t>万能产品及其一致行动人，合计持有公司股份数为</w:t>
      </w:r>
      <w:r w:rsidRPr="00FC781C">
        <w:rPr>
          <w:rFonts w:ascii="宋体" w:hAnsi="宋体" w:cs="宋体"/>
          <w:snapToGrid w:val="0"/>
          <w:sz w:val="24"/>
          <w:szCs w:val="24"/>
        </w:rPr>
        <w:t>20%</w:t>
      </w:r>
      <w:r w:rsidRPr="00FC781C">
        <w:rPr>
          <w:rFonts w:ascii="宋体" w:hAnsi="宋体" w:cs="宋体" w:hint="eastAsia"/>
          <w:snapToGrid w:val="0"/>
          <w:sz w:val="24"/>
          <w:szCs w:val="24"/>
        </w:rPr>
        <w:t>。下同。</w:t>
      </w:r>
    </w:p>
    <w:p w:rsidR="000D7D56" w:rsidRPr="00FC781C" w:rsidRDefault="000D7D56" w:rsidP="00353BBE">
      <w:pPr>
        <w:spacing w:line="500" w:lineRule="atLeast"/>
        <w:ind w:leftChars="100" w:left="31680" w:firstLineChars="200" w:firstLine="31680"/>
        <w:rPr>
          <w:rFonts w:ascii="宋体"/>
          <w:snapToGrid w:val="0"/>
          <w:sz w:val="24"/>
          <w:szCs w:val="24"/>
        </w:rPr>
      </w:pPr>
      <w:r w:rsidRPr="00FC781C">
        <w:rPr>
          <w:rFonts w:ascii="宋体" w:hAnsi="宋体" w:cs="宋体"/>
          <w:snapToGrid w:val="0"/>
          <w:sz w:val="24"/>
          <w:szCs w:val="24"/>
        </w:rPr>
        <w:t>2.</w:t>
      </w:r>
      <w:r w:rsidRPr="00FC781C">
        <w:rPr>
          <w:rFonts w:ascii="宋体" w:hAnsi="宋体" w:cs="宋体" w:hint="eastAsia"/>
          <w:snapToGrid w:val="0"/>
          <w:sz w:val="24"/>
          <w:szCs w:val="24"/>
        </w:rPr>
        <w:t>表决结果：牛俊杰先生当选为公司第七届董事会独立董事。</w:t>
      </w:r>
    </w:p>
    <w:p w:rsidR="000D7D56" w:rsidRPr="00FC781C" w:rsidRDefault="000D7D56" w:rsidP="00353BBE">
      <w:pPr>
        <w:spacing w:line="500" w:lineRule="atLeast"/>
        <w:ind w:leftChars="100" w:left="31680" w:firstLineChars="200" w:firstLine="31680"/>
        <w:rPr>
          <w:rFonts w:ascii="宋体"/>
          <w:snapToGrid w:val="0"/>
          <w:sz w:val="24"/>
          <w:szCs w:val="24"/>
        </w:rPr>
      </w:pPr>
    </w:p>
    <w:p w:rsidR="000D7D56" w:rsidRPr="00162162" w:rsidRDefault="000D7D56" w:rsidP="00353BBE">
      <w:pPr>
        <w:spacing w:line="520" w:lineRule="exact"/>
        <w:ind w:firstLineChars="200" w:firstLine="31680"/>
        <w:rPr>
          <w:rFonts w:ascii="宋体"/>
          <w:b/>
          <w:bCs/>
          <w:snapToGrid w:val="0"/>
          <w:kern w:val="0"/>
          <w:sz w:val="24"/>
          <w:szCs w:val="24"/>
        </w:rPr>
      </w:pPr>
      <w:r w:rsidRPr="00162162">
        <w:rPr>
          <w:rFonts w:ascii="宋体" w:hAnsi="宋体" w:cs="宋体" w:hint="eastAsia"/>
          <w:b/>
          <w:bCs/>
          <w:snapToGrid w:val="0"/>
          <w:kern w:val="0"/>
          <w:sz w:val="24"/>
          <w:szCs w:val="24"/>
        </w:rPr>
        <w:t>五、律师出具的法律意见</w:t>
      </w:r>
    </w:p>
    <w:p w:rsidR="000D7D56" w:rsidRPr="00162162" w:rsidRDefault="000D7D56" w:rsidP="00353BBE">
      <w:pPr>
        <w:autoSpaceDE w:val="0"/>
        <w:autoSpaceDN w:val="0"/>
        <w:adjustRightInd w:val="0"/>
        <w:snapToGrid w:val="0"/>
        <w:spacing w:line="520" w:lineRule="exact"/>
        <w:ind w:firstLineChars="200" w:firstLine="31680"/>
        <w:jc w:val="left"/>
        <w:rPr>
          <w:rFonts w:ascii="宋体"/>
          <w:snapToGrid w:val="0"/>
          <w:kern w:val="0"/>
          <w:sz w:val="24"/>
          <w:szCs w:val="24"/>
        </w:rPr>
      </w:pPr>
      <w:r w:rsidRPr="00162162">
        <w:rPr>
          <w:rFonts w:ascii="宋体" w:hAnsi="宋体" w:cs="宋体" w:hint="eastAsia"/>
          <w:snapToGrid w:val="0"/>
          <w:kern w:val="0"/>
          <w:sz w:val="24"/>
          <w:szCs w:val="24"/>
        </w:rPr>
        <w:t>应公司邀请，北京观韬律师事务所指派律师见证了本次股东大会，并出具了“观意字</w:t>
      </w:r>
      <w:r w:rsidRPr="0068788F">
        <w:rPr>
          <w:rFonts w:ascii="宋体" w:hAnsi="宋体" w:cs="宋体" w:hint="eastAsia"/>
          <w:snapToGrid w:val="0"/>
          <w:kern w:val="0"/>
          <w:sz w:val="24"/>
          <w:szCs w:val="24"/>
        </w:rPr>
        <w:t>（</w:t>
      </w:r>
      <w:r>
        <w:rPr>
          <w:rFonts w:ascii="宋体" w:hAnsi="宋体" w:cs="宋体"/>
          <w:snapToGrid w:val="0"/>
          <w:kern w:val="0"/>
          <w:sz w:val="24"/>
          <w:szCs w:val="24"/>
        </w:rPr>
        <w:t>2015</w:t>
      </w:r>
      <w:r w:rsidRPr="0068788F">
        <w:rPr>
          <w:rFonts w:ascii="宋体" w:hAnsi="宋体" w:cs="宋体" w:hint="eastAsia"/>
          <w:snapToGrid w:val="0"/>
          <w:kern w:val="0"/>
          <w:sz w:val="24"/>
          <w:szCs w:val="24"/>
        </w:rPr>
        <w:t>）第</w:t>
      </w:r>
      <w:r>
        <w:rPr>
          <w:rFonts w:ascii="宋体" w:hAnsi="宋体" w:cs="宋体"/>
          <w:snapToGrid w:val="0"/>
          <w:kern w:val="0"/>
          <w:sz w:val="24"/>
          <w:szCs w:val="24"/>
        </w:rPr>
        <w:t>0073</w:t>
      </w:r>
      <w:r w:rsidRPr="00A13F67">
        <w:rPr>
          <w:rFonts w:ascii="宋体" w:hAnsi="宋体" w:cs="宋体" w:hint="eastAsia"/>
          <w:snapToGrid w:val="0"/>
          <w:kern w:val="0"/>
          <w:sz w:val="24"/>
          <w:szCs w:val="24"/>
        </w:rPr>
        <w:t>号</w:t>
      </w:r>
      <w:r w:rsidRPr="00162162">
        <w:rPr>
          <w:rFonts w:ascii="宋体" w:hAnsi="宋体" w:cs="宋体" w:hint="eastAsia"/>
          <w:snapToGrid w:val="0"/>
          <w:kern w:val="0"/>
          <w:sz w:val="24"/>
          <w:szCs w:val="24"/>
        </w:rPr>
        <w:t>”法律意</w:t>
      </w:r>
      <w:r w:rsidRPr="00162162">
        <w:rPr>
          <w:rFonts w:ascii="宋体" w:cs="宋体" w:hint="eastAsia"/>
          <w:snapToGrid w:val="0"/>
          <w:kern w:val="0"/>
          <w:sz w:val="24"/>
          <w:szCs w:val="24"/>
        </w:rPr>
        <w:t>见书，主要法律意见如下：“</w:t>
      </w:r>
      <w:r w:rsidRPr="00162162">
        <w:rPr>
          <w:rFonts w:cs="宋体" w:hint="eastAsia"/>
          <w:sz w:val="24"/>
          <w:szCs w:val="24"/>
        </w:rPr>
        <w:t>综上所述，本所律师认为，公司本次股东大会的召集、召开程序符合有关法律、行政法规、《规则》及《公司章程》的规定；出席本次股东大会的人员资格、召集人资格合法、有效；本次股东大会的表决程序和表决结果合法、有效。</w:t>
      </w:r>
      <w:r w:rsidRPr="00162162">
        <w:rPr>
          <w:rFonts w:ascii="宋体" w:cs="宋体" w:hint="eastAsia"/>
          <w:snapToGrid w:val="0"/>
          <w:kern w:val="0"/>
          <w:sz w:val="24"/>
          <w:szCs w:val="24"/>
        </w:rPr>
        <w:t>”</w:t>
      </w:r>
    </w:p>
    <w:p w:rsidR="000D7D56" w:rsidRDefault="000D7D56" w:rsidP="003875D6">
      <w:pPr>
        <w:spacing w:line="520" w:lineRule="exact"/>
        <w:ind w:firstLine="550"/>
        <w:rPr>
          <w:snapToGrid w:val="0"/>
          <w:kern w:val="0"/>
          <w:sz w:val="24"/>
          <w:szCs w:val="24"/>
        </w:rPr>
      </w:pPr>
      <w:r>
        <w:rPr>
          <w:rFonts w:cs="宋体" w:hint="eastAsia"/>
          <w:snapToGrid w:val="0"/>
          <w:kern w:val="0"/>
          <w:sz w:val="24"/>
          <w:szCs w:val="24"/>
        </w:rPr>
        <w:t>特此公告。</w:t>
      </w:r>
    </w:p>
    <w:p w:rsidR="000D7D56" w:rsidRDefault="000D7D56" w:rsidP="003875D6">
      <w:pPr>
        <w:spacing w:line="520" w:lineRule="exact"/>
        <w:jc w:val="center"/>
        <w:rPr>
          <w:rFonts w:ascii="宋体"/>
          <w:b/>
          <w:bCs/>
          <w:sz w:val="24"/>
          <w:szCs w:val="24"/>
        </w:rPr>
      </w:pPr>
    </w:p>
    <w:p w:rsidR="000D7D56" w:rsidRDefault="000D7D56" w:rsidP="003875D6">
      <w:pPr>
        <w:spacing w:line="520" w:lineRule="exact"/>
        <w:jc w:val="center"/>
        <w:rPr>
          <w:rFonts w:ascii="宋体"/>
          <w:b/>
          <w:bCs/>
          <w:sz w:val="24"/>
          <w:szCs w:val="24"/>
        </w:rPr>
      </w:pPr>
      <w:r>
        <w:rPr>
          <w:rFonts w:ascii="宋体" w:hAnsi="宋体" w:cs="宋体" w:hint="eastAsia"/>
          <w:b/>
          <w:bCs/>
          <w:sz w:val="24"/>
          <w:szCs w:val="24"/>
        </w:rPr>
        <w:t>金融街控股股份有限公司</w:t>
      </w:r>
    </w:p>
    <w:p w:rsidR="000D7D56" w:rsidRDefault="000D7D56" w:rsidP="003875D6">
      <w:pPr>
        <w:spacing w:line="520" w:lineRule="exact"/>
        <w:jc w:val="center"/>
        <w:rPr>
          <w:rFonts w:ascii="宋体"/>
          <w:b/>
          <w:bCs/>
          <w:sz w:val="24"/>
          <w:szCs w:val="24"/>
        </w:rPr>
      </w:pPr>
      <w:r>
        <w:rPr>
          <w:rFonts w:ascii="宋体" w:hAnsi="宋体" w:cs="宋体" w:hint="eastAsia"/>
          <w:b/>
          <w:bCs/>
          <w:sz w:val="24"/>
          <w:szCs w:val="24"/>
        </w:rPr>
        <w:t>董事会</w:t>
      </w:r>
    </w:p>
    <w:p w:rsidR="000D7D56" w:rsidRPr="00945518" w:rsidRDefault="000D7D56" w:rsidP="003875D6">
      <w:pPr>
        <w:spacing w:line="520" w:lineRule="exact"/>
        <w:jc w:val="center"/>
        <w:rPr>
          <w:rFonts w:ascii="宋体"/>
          <w:b/>
          <w:bCs/>
          <w:spacing w:val="20"/>
          <w:sz w:val="24"/>
          <w:szCs w:val="24"/>
        </w:rPr>
      </w:pPr>
      <w:r>
        <w:rPr>
          <w:rFonts w:ascii="宋体" w:hAnsi="宋体" w:cs="宋体"/>
          <w:b/>
          <w:bCs/>
          <w:sz w:val="24"/>
          <w:szCs w:val="24"/>
        </w:rPr>
        <w:t>2015</w:t>
      </w:r>
      <w:r>
        <w:rPr>
          <w:rFonts w:ascii="宋体" w:hAnsi="宋体" w:cs="宋体" w:hint="eastAsia"/>
          <w:b/>
          <w:bCs/>
          <w:sz w:val="24"/>
          <w:szCs w:val="24"/>
        </w:rPr>
        <w:t>年</w:t>
      </w:r>
      <w:r>
        <w:rPr>
          <w:rFonts w:ascii="宋体" w:hAnsi="宋体" w:cs="宋体"/>
          <w:b/>
          <w:bCs/>
          <w:sz w:val="24"/>
          <w:szCs w:val="24"/>
        </w:rPr>
        <w:t>3</w:t>
      </w:r>
      <w:r>
        <w:rPr>
          <w:rFonts w:ascii="宋体" w:hAnsi="宋体" w:cs="宋体" w:hint="eastAsia"/>
          <w:b/>
          <w:bCs/>
          <w:sz w:val="24"/>
          <w:szCs w:val="24"/>
        </w:rPr>
        <w:t>月</w:t>
      </w:r>
      <w:r>
        <w:rPr>
          <w:rFonts w:ascii="宋体" w:hAnsi="宋体" w:cs="宋体"/>
          <w:b/>
          <w:bCs/>
          <w:sz w:val="24"/>
          <w:szCs w:val="24"/>
        </w:rPr>
        <w:t>10</w:t>
      </w:r>
      <w:r>
        <w:rPr>
          <w:rFonts w:ascii="宋体" w:hAnsi="宋体" w:cs="宋体" w:hint="eastAsia"/>
          <w:b/>
          <w:bCs/>
          <w:sz w:val="24"/>
          <w:szCs w:val="24"/>
        </w:rPr>
        <w:t>日</w:t>
      </w:r>
    </w:p>
    <w:p w:rsidR="000D7D56" w:rsidRPr="003875D6" w:rsidRDefault="000D7D56"/>
    <w:sectPr w:rsidR="000D7D56" w:rsidRPr="003875D6" w:rsidSect="009A68CD">
      <w:footerReference w:type="default" r:id="rId8"/>
      <w:pgSz w:w="11906" w:h="16838" w:code="9"/>
      <w:pgMar w:top="1134" w:right="1400" w:bottom="1134" w:left="1400" w:header="567" w:footer="992" w:gutter="0"/>
      <w:cols w:space="425"/>
      <w:docGrid w:type="linesAndChars" w:linePitch="558" w:charSpace="-25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D56" w:rsidRDefault="000D7D56" w:rsidP="009A68CD">
      <w:r>
        <w:separator/>
      </w:r>
    </w:p>
  </w:endnote>
  <w:endnote w:type="continuationSeparator" w:id="0">
    <w:p w:rsidR="000D7D56" w:rsidRDefault="000D7D56" w:rsidP="009A6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56" w:rsidRDefault="000D7D56">
    <w:pPr>
      <w:pStyle w:val="Footer"/>
      <w:jc w:val="center"/>
    </w:pPr>
    <w:fldSimple w:instr=" PAGE   \* MERGEFORMAT ">
      <w:r w:rsidRPr="00CA5701">
        <w:rPr>
          <w:noProof/>
          <w:lang w:val="zh-CN"/>
        </w:rPr>
        <w:t>3</w:t>
      </w:r>
    </w:fldSimple>
  </w:p>
  <w:p w:rsidR="000D7D56" w:rsidRDefault="000D7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D56" w:rsidRDefault="000D7D56" w:rsidP="009A68CD">
      <w:r>
        <w:separator/>
      </w:r>
    </w:p>
  </w:footnote>
  <w:footnote w:type="continuationSeparator" w:id="0">
    <w:p w:rsidR="000D7D56" w:rsidRDefault="000D7D56" w:rsidP="009A6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5D6"/>
    <w:rsid w:val="000172FF"/>
    <w:rsid w:val="000D7D56"/>
    <w:rsid w:val="000F317F"/>
    <w:rsid w:val="00125982"/>
    <w:rsid w:val="00130EEF"/>
    <w:rsid w:val="00162162"/>
    <w:rsid w:val="00162F01"/>
    <w:rsid w:val="001646E3"/>
    <w:rsid w:val="001D334E"/>
    <w:rsid w:val="002B3C17"/>
    <w:rsid w:val="00353BBE"/>
    <w:rsid w:val="003875D6"/>
    <w:rsid w:val="00410FA5"/>
    <w:rsid w:val="00426C4E"/>
    <w:rsid w:val="004275EE"/>
    <w:rsid w:val="004463F4"/>
    <w:rsid w:val="00510546"/>
    <w:rsid w:val="005E5213"/>
    <w:rsid w:val="00680DFA"/>
    <w:rsid w:val="0068788F"/>
    <w:rsid w:val="007223CF"/>
    <w:rsid w:val="0078737C"/>
    <w:rsid w:val="008E280F"/>
    <w:rsid w:val="00945518"/>
    <w:rsid w:val="00957469"/>
    <w:rsid w:val="00987689"/>
    <w:rsid w:val="00997699"/>
    <w:rsid w:val="009A272B"/>
    <w:rsid w:val="009A68CD"/>
    <w:rsid w:val="00A13F67"/>
    <w:rsid w:val="00A31FE7"/>
    <w:rsid w:val="00A42E50"/>
    <w:rsid w:val="00A44C44"/>
    <w:rsid w:val="00A723A4"/>
    <w:rsid w:val="00A778F3"/>
    <w:rsid w:val="00AB4CBF"/>
    <w:rsid w:val="00AC7454"/>
    <w:rsid w:val="00CA5701"/>
    <w:rsid w:val="00CB69EE"/>
    <w:rsid w:val="00D0631A"/>
    <w:rsid w:val="00DC5FFC"/>
    <w:rsid w:val="00E13C4B"/>
    <w:rsid w:val="00E850A8"/>
    <w:rsid w:val="00F21F6E"/>
    <w:rsid w:val="00F56F09"/>
    <w:rsid w:val="00FC78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D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75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875D6"/>
    <w:rPr>
      <w:rFonts w:ascii="Times New Roman" w:eastAsia="宋体" w:hAnsi="Times New Roman" w:cs="Times New Roman"/>
      <w:sz w:val="20"/>
      <w:szCs w:val="20"/>
    </w:rPr>
  </w:style>
  <w:style w:type="character" w:styleId="PageNumber">
    <w:name w:val="page number"/>
    <w:basedOn w:val="DefaultParagraphFont"/>
    <w:uiPriority w:val="99"/>
    <w:rsid w:val="003875D6"/>
  </w:style>
  <w:style w:type="paragraph" w:styleId="Date">
    <w:name w:val="Date"/>
    <w:basedOn w:val="Normal"/>
    <w:next w:val="Normal"/>
    <w:link w:val="DateChar"/>
    <w:uiPriority w:val="99"/>
    <w:rsid w:val="003875D6"/>
    <w:rPr>
      <w:b/>
      <w:bCs/>
      <w:sz w:val="28"/>
      <w:szCs w:val="28"/>
    </w:rPr>
  </w:style>
  <w:style w:type="character" w:customStyle="1" w:styleId="DateChar">
    <w:name w:val="Date Char"/>
    <w:basedOn w:val="DefaultParagraphFont"/>
    <w:link w:val="Date"/>
    <w:uiPriority w:val="99"/>
    <w:locked/>
    <w:rsid w:val="003875D6"/>
    <w:rPr>
      <w:rFonts w:ascii="Times New Roman" w:eastAsia="宋体" w:hAnsi="Times New Roman" w:cs="Times New Roman"/>
      <w:b/>
      <w:bCs/>
      <w:sz w:val="20"/>
      <w:szCs w:val="20"/>
    </w:rPr>
  </w:style>
  <w:style w:type="paragraph" w:styleId="Header">
    <w:name w:val="header"/>
    <w:basedOn w:val="Normal"/>
    <w:link w:val="HeaderChar"/>
    <w:uiPriority w:val="99"/>
    <w:semiHidden/>
    <w:rsid w:val="00FC78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C781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207</Words>
  <Characters>1181</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证券代码：000402              证券简称：金融街               公告编号：2015-008</dc:title>
  <dc:subject/>
  <dc:creator>金慧(hjin)</dc:creator>
  <cp:keywords/>
  <dc:description/>
  <cp:lastModifiedBy>刘春明(cmliu)</cp:lastModifiedBy>
  <cp:revision>2</cp:revision>
  <cp:lastPrinted>2015-03-09T09:19:00Z</cp:lastPrinted>
  <dcterms:created xsi:type="dcterms:W3CDTF">2015-03-09T09:43:00Z</dcterms:created>
  <dcterms:modified xsi:type="dcterms:W3CDTF">2015-03-09T09:43:00Z</dcterms:modified>
</cp:coreProperties>
</file>