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40" w:rsidRPr="00652E9E" w:rsidRDefault="00F02133" w:rsidP="00F02133">
      <w:pPr>
        <w:jc w:val="left"/>
        <w:rPr>
          <w:rFonts w:ascii="Times New Roman" w:hAnsi="Times New Roman" w:cs="Times New Roman"/>
          <w:b/>
          <w:bCs/>
          <w:sz w:val="24"/>
          <w:szCs w:val="24"/>
        </w:rPr>
      </w:pPr>
      <w:r w:rsidRPr="00652E9E">
        <w:rPr>
          <w:rFonts w:hint="eastAsia"/>
          <w:b/>
          <w:sz w:val="24"/>
          <w:szCs w:val="24"/>
        </w:rPr>
        <w:t>证券代码：</w:t>
      </w:r>
      <w:r w:rsidRPr="00652E9E">
        <w:rPr>
          <w:rFonts w:ascii="Times New Roman" w:hAnsi="Times New Roman" w:cs="Times New Roman"/>
          <w:b/>
          <w:bCs/>
          <w:sz w:val="24"/>
          <w:szCs w:val="24"/>
        </w:rPr>
        <w:t>000</w:t>
      </w:r>
      <w:r w:rsidRPr="00652E9E">
        <w:rPr>
          <w:rFonts w:ascii="Times New Roman" w:hAnsi="Times New Roman" w:cs="Times New Roman" w:hint="eastAsia"/>
          <w:b/>
          <w:bCs/>
          <w:sz w:val="24"/>
          <w:szCs w:val="24"/>
        </w:rPr>
        <w:t>402</w:t>
      </w:r>
      <w:r w:rsidR="00E93F9B">
        <w:rPr>
          <w:rFonts w:ascii="Times New Roman" w:hAnsi="Times New Roman" w:cs="Times New Roman" w:hint="eastAsia"/>
          <w:b/>
          <w:bCs/>
          <w:sz w:val="24"/>
          <w:szCs w:val="24"/>
        </w:rPr>
        <w:t xml:space="preserve">            </w:t>
      </w:r>
      <w:r w:rsidRPr="00652E9E">
        <w:rPr>
          <w:rFonts w:hAnsi="Times New Roman" w:hint="eastAsia"/>
          <w:b/>
          <w:sz w:val="24"/>
          <w:szCs w:val="24"/>
        </w:rPr>
        <w:t>证券简称：金融街</w:t>
      </w:r>
      <w:r w:rsidR="000949BF">
        <w:rPr>
          <w:rFonts w:hAnsi="Times New Roman" w:hint="eastAsia"/>
          <w:b/>
          <w:sz w:val="24"/>
          <w:szCs w:val="24"/>
        </w:rPr>
        <w:t xml:space="preserve">  </w:t>
      </w:r>
      <w:r w:rsidR="00834889">
        <w:rPr>
          <w:rFonts w:hAnsi="Times New Roman" w:hint="eastAsia"/>
          <w:b/>
          <w:sz w:val="24"/>
          <w:szCs w:val="24"/>
        </w:rPr>
        <w:t xml:space="preserve">  </w:t>
      </w:r>
      <w:r w:rsidR="00E93F9B">
        <w:rPr>
          <w:rFonts w:hAnsi="Times New Roman" w:hint="eastAsia"/>
          <w:b/>
          <w:sz w:val="24"/>
          <w:szCs w:val="24"/>
        </w:rPr>
        <w:t xml:space="preserve">  </w:t>
      </w:r>
      <w:r w:rsidR="000949BF">
        <w:rPr>
          <w:rFonts w:hAnsi="Times New Roman" w:hint="eastAsia"/>
          <w:b/>
          <w:sz w:val="24"/>
          <w:szCs w:val="24"/>
        </w:rPr>
        <w:t xml:space="preserve">    </w:t>
      </w:r>
      <w:r w:rsidRPr="00652E9E">
        <w:rPr>
          <w:rFonts w:hAnsi="Times New Roman" w:hint="eastAsia"/>
          <w:b/>
          <w:sz w:val="24"/>
          <w:szCs w:val="24"/>
        </w:rPr>
        <w:t>公告编号：</w:t>
      </w:r>
      <w:r w:rsidR="00834889">
        <w:rPr>
          <w:rFonts w:ascii="Times New Roman" w:hAnsi="Times New Roman" w:cs="Times New Roman" w:hint="eastAsia"/>
          <w:b/>
          <w:bCs/>
          <w:sz w:val="24"/>
          <w:szCs w:val="24"/>
        </w:rPr>
        <w:t>20</w:t>
      </w:r>
      <w:r w:rsidR="00834889" w:rsidRPr="00834889">
        <w:rPr>
          <w:rFonts w:ascii="Times New Roman" w:hAnsi="Times New Roman" w:cs="Times New Roman" w:hint="eastAsia"/>
          <w:b/>
          <w:bCs/>
          <w:sz w:val="24"/>
          <w:szCs w:val="24"/>
        </w:rPr>
        <w:t>15-02</w:t>
      </w:r>
      <w:r w:rsidR="001C425D">
        <w:rPr>
          <w:rFonts w:ascii="Times New Roman" w:hAnsi="Times New Roman" w:cs="Times New Roman" w:hint="eastAsia"/>
          <w:b/>
          <w:bCs/>
          <w:sz w:val="24"/>
          <w:szCs w:val="24"/>
        </w:rPr>
        <w:t>7</w:t>
      </w:r>
    </w:p>
    <w:p w:rsidR="00F02133" w:rsidRPr="000949BF" w:rsidRDefault="00F02133" w:rsidP="00F02133">
      <w:pPr>
        <w:autoSpaceDE w:val="0"/>
        <w:autoSpaceDN w:val="0"/>
        <w:adjustRightInd w:val="0"/>
        <w:jc w:val="left"/>
        <w:rPr>
          <w:rFonts w:ascii="宋体" w:eastAsia="宋体" w:cs="宋体"/>
          <w:color w:val="000000"/>
          <w:kern w:val="0"/>
          <w:sz w:val="24"/>
          <w:szCs w:val="24"/>
        </w:rPr>
      </w:pPr>
    </w:p>
    <w:p w:rsidR="008977A9" w:rsidRDefault="00C0785C" w:rsidP="008B2F35">
      <w:pPr>
        <w:spacing w:beforeLines="100" w:before="312"/>
        <w:ind w:firstLineChars="200" w:firstLine="643"/>
        <w:jc w:val="center"/>
        <w:rPr>
          <w:rFonts w:ascii="宋体" w:eastAsia="宋体" w:hAnsi="宋体" w:cs="Times New Roman"/>
          <w:b/>
          <w:sz w:val="32"/>
          <w:szCs w:val="24"/>
        </w:rPr>
      </w:pPr>
      <w:r w:rsidRPr="008B2F35">
        <w:rPr>
          <w:rFonts w:ascii="宋体" w:eastAsia="宋体" w:hAnsi="宋体" w:cs="Times New Roman" w:hint="eastAsia"/>
          <w:b/>
          <w:sz w:val="32"/>
          <w:szCs w:val="24"/>
        </w:rPr>
        <w:t>金融街控股股份有限</w:t>
      </w:r>
      <w:r w:rsidR="00F02133" w:rsidRPr="008B2F35">
        <w:rPr>
          <w:rFonts w:ascii="宋体" w:eastAsia="宋体" w:hAnsi="宋体" w:cs="Times New Roman" w:hint="eastAsia"/>
          <w:b/>
          <w:sz w:val="32"/>
          <w:szCs w:val="24"/>
        </w:rPr>
        <w:t>公司</w:t>
      </w:r>
    </w:p>
    <w:p w:rsidR="00F02133" w:rsidRPr="008B2F35" w:rsidRDefault="008977A9" w:rsidP="008B2F35">
      <w:pPr>
        <w:spacing w:beforeLines="100" w:before="312"/>
        <w:ind w:firstLineChars="200" w:firstLine="643"/>
        <w:jc w:val="center"/>
        <w:rPr>
          <w:rFonts w:ascii="宋体" w:eastAsia="宋体" w:hAnsi="宋体" w:cs="Times New Roman"/>
          <w:b/>
          <w:sz w:val="32"/>
          <w:szCs w:val="24"/>
        </w:rPr>
      </w:pPr>
      <w:r>
        <w:rPr>
          <w:rFonts w:ascii="宋体" w:eastAsia="宋体" w:hAnsi="宋体" w:cs="Times New Roman" w:hint="eastAsia"/>
          <w:b/>
          <w:sz w:val="32"/>
          <w:szCs w:val="24"/>
        </w:rPr>
        <w:t>公开发行</w:t>
      </w:r>
      <w:r w:rsidR="00F02133" w:rsidRPr="008B2F35">
        <w:rPr>
          <w:rFonts w:ascii="宋体" w:eastAsia="宋体" w:hAnsi="宋体" w:cs="Times New Roman" w:hint="eastAsia"/>
          <w:b/>
          <w:sz w:val="32"/>
          <w:szCs w:val="24"/>
        </w:rPr>
        <w:t>公司债券</w:t>
      </w:r>
      <w:bookmarkStart w:id="0" w:name="_GoBack"/>
      <w:bookmarkEnd w:id="0"/>
      <w:r w:rsidR="00F02133" w:rsidRPr="008B2F35">
        <w:rPr>
          <w:rFonts w:ascii="宋体" w:eastAsia="宋体" w:hAnsi="宋体" w:cs="Times New Roman" w:hint="eastAsia"/>
          <w:b/>
          <w:sz w:val="32"/>
          <w:szCs w:val="24"/>
        </w:rPr>
        <w:t>预案公告</w:t>
      </w:r>
    </w:p>
    <w:p w:rsidR="00652E9E" w:rsidRDefault="00652E9E" w:rsidP="00652E9E">
      <w:pPr>
        <w:jc w:val="center"/>
        <w:rPr>
          <w:rFonts w:ascii="宋体" w:eastAsia="宋体" w:cs="宋体"/>
          <w:b/>
          <w:color w:val="000000"/>
          <w:kern w:val="0"/>
          <w:sz w:val="24"/>
          <w:szCs w:val="24"/>
        </w:rPr>
      </w:pPr>
    </w:p>
    <w:p w:rsidR="008B2F35" w:rsidRPr="00652E9E" w:rsidRDefault="008B2F35" w:rsidP="008B2F35">
      <w:pPr>
        <w:spacing w:line="360" w:lineRule="auto"/>
        <w:jc w:val="center"/>
        <w:rPr>
          <w:rFonts w:ascii="宋体" w:eastAsia="宋体" w:cs="宋体"/>
          <w:b/>
          <w:color w:val="000000"/>
          <w:kern w:val="0"/>
          <w:sz w:val="24"/>
          <w:szCs w:val="24"/>
        </w:rPr>
      </w:pPr>
      <w:r w:rsidRPr="008B2F35">
        <w:rPr>
          <w:rFonts w:ascii="宋体" w:eastAsia="宋体" w:cs="宋体" w:hint="eastAsia"/>
          <w:b/>
          <w:color w:val="000000"/>
          <w:kern w:val="0"/>
          <w:sz w:val="24"/>
          <w:szCs w:val="24"/>
        </w:rPr>
        <w:t>本公司及董事会全体成员保证信息披露的内容真实、准确、完整，没有虚假记载、误导性陈述或者重大遗漏。</w:t>
      </w:r>
    </w:p>
    <w:p w:rsidR="00867794" w:rsidRPr="00867794" w:rsidRDefault="00867794" w:rsidP="00867794">
      <w:pPr>
        <w:autoSpaceDE w:val="0"/>
        <w:autoSpaceDN w:val="0"/>
        <w:adjustRightInd w:val="0"/>
        <w:jc w:val="left"/>
        <w:rPr>
          <w:rFonts w:ascii="宋体" w:eastAsia="宋体" w:cs="宋体"/>
          <w:color w:val="000000"/>
          <w:kern w:val="0"/>
          <w:sz w:val="24"/>
          <w:szCs w:val="24"/>
        </w:rPr>
      </w:pPr>
    </w:p>
    <w:p w:rsidR="00867794" w:rsidRPr="00867794" w:rsidRDefault="00867794" w:rsidP="00652E9E">
      <w:pPr>
        <w:pStyle w:val="a3"/>
        <w:numPr>
          <w:ilvl w:val="0"/>
          <w:numId w:val="1"/>
        </w:numPr>
        <w:spacing w:line="360" w:lineRule="auto"/>
        <w:ind w:left="108" w:firstLine="482"/>
        <w:rPr>
          <w:rFonts w:ascii="宋体" w:eastAsia="宋体" w:cs="宋体"/>
          <w:b/>
          <w:color w:val="000000"/>
          <w:kern w:val="0"/>
          <w:sz w:val="24"/>
          <w:szCs w:val="24"/>
        </w:rPr>
      </w:pPr>
      <w:r w:rsidRPr="00867794">
        <w:rPr>
          <w:rFonts w:ascii="宋体" w:eastAsia="宋体" w:cs="宋体" w:hint="eastAsia"/>
          <w:b/>
          <w:color w:val="000000"/>
          <w:kern w:val="0"/>
          <w:sz w:val="24"/>
          <w:szCs w:val="24"/>
        </w:rPr>
        <w:t>关于公司符合公司债券发行条件的说明</w:t>
      </w:r>
    </w:p>
    <w:p w:rsidR="00F02133" w:rsidRDefault="000949BF" w:rsidP="000949BF">
      <w:pPr>
        <w:spacing w:line="360" w:lineRule="auto"/>
        <w:ind w:left="108" w:firstLineChars="200" w:firstLine="480"/>
        <w:rPr>
          <w:rFonts w:ascii="宋体" w:eastAsia="宋体" w:cs="宋体"/>
          <w:color w:val="000000"/>
          <w:kern w:val="0"/>
          <w:sz w:val="24"/>
          <w:szCs w:val="24"/>
        </w:rPr>
      </w:pPr>
      <w:r w:rsidRPr="000949BF">
        <w:rPr>
          <w:rFonts w:ascii="宋体" w:eastAsia="宋体" w:cs="宋体"/>
          <w:color w:val="000000"/>
          <w:kern w:val="0"/>
          <w:sz w:val="24"/>
          <w:szCs w:val="24"/>
        </w:rPr>
        <w:t>根据《中华人民共和国公司法》、《中华人民共和国证券法》、《公司债券发行与交易管理办法》等有关法律、法规和规范性文件的规定，经核查公司相关情况，公司董事会认为：公司符合公开发行公司债券的有关规定，具备公开发行公司债券的条件和资格。</w:t>
      </w:r>
    </w:p>
    <w:p w:rsidR="00867794" w:rsidRPr="00652E9E" w:rsidRDefault="00867794" w:rsidP="00652E9E">
      <w:pPr>
        <w:pStyle w:val="a3"/>
        <w:numPr>
          <w:ilvl w:val="0"/>
          <w:numId w:val="1"/>
        </w:numPr>
        <w:spacing w:line="360" w:lineRule="auto"/>
        <w:ind w:left="108" w:firstLine="482"/>
        <w:rPr>
          <w:rFonts w:ascii="宋体" w:eastAsia="宋体" w:cs="宋体"/>
          <w:b/>
          <w:color w:val="000000"/>
          <w:kern w:val="0"/>
          <w:sz w:val="24"/>
          <w:szCs w:val="24"/>
        </w:rPr>
      </w:pPr>
      <w:r w:rsidRPr="00652E9E">
        <w:rPr>
          <w:rFonts w:ascii="宋体" w:eastAsia="宋体" w:cs="宋体" w:hint="eastAsia"/>
          <w:b/>
          <w:color w:val="000000"/>
          <w:kern w:val="0"/>
          <w:sz w:val="24"/>
          <w:szCs w:val="24"/>
        </w:rPr>
        <w:t>本次发行概况</w:t>
      </w:r>
    </w:p>
    <w:p w:rsidR="00867794" w:rsidRPr="00867794" w:rsidRDefault="00867794" w:rsidP="00867794">
      <w:pPr>
        <w:pStyle w:val="a3"/>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867794">
        <w:rPr>
          <w:rFonts w:ascii="Times New Roman" w:eastAsia="宋体" w:hAnsi="Times New Roman" w:cs="Times New Roman"/>
          <w:color w:val="000000"/>
          <w:kern w:val="0"/>
          <w:sz w:val="24"/>
          <w:szCs w:val="24"/>
        </w:rPr>
        <w:t>发行规模和发行方式</w:t>
      </w:r>
    </w:p>
    <w:p w:rsidR="00867794" w:rsidRPr="00867794" w:rsidRDefault="000949BF" w:rsidP="000949BF">
      <w:pPr>
        <w:autoSpaceDE w:val="0"/>
        <w:autoSpaceDN w:val="0"/>
        <w:adjustRightInd w:val="0"/>
        <w:spacing w:line="360" w:lineRule="auto"/>
        <w:ind w:firstLineChars="200" w:firstLine="480"/>
        <w:rPr>
          <w:rFonts w:ascii="Times New Roman" w:eastAsia="宋体" w:hAnsi="Times New Roman" w:cs="Times New Roman"/>
          <w:color w:val="000000"/>
          <w:kern w:val="0"/>
          <w:sz w:val="24"/>
          <w:szCs w:val="24"/>
        </w:rPr>
      </w:pPr>
      <w:r w:rsidRPr="000949BF">
        <w:rPr>
          <w:rFonts w:ascii="Times New Roman" w:eastAsia="宋体" w:hAnsi="Times New Roman" w:cs="Times New Roman"/>
          <w:color w:val="000000"/>
          <w:kern w:val="0"/>
          <w:sz w:val="24"/>
          <w:szCs w:val="24"/>
        </w:rPr>
        <w:t>本期公开发行公司债券票面总额不超过人民币</w:t>
      </w:r>
      <w:r w:rsidRPr="000949BF">
        <w:rPr>
          <w:rFonts w:ascii="Times New Roman" w:eastAsia="宋体" w:hAnsi="Times New Roman" w:cs="Times New Roman"/>
          <w:color w:val="000000"/>
          <w:kern w:val="0"/>
          <w:sz w:val="24"/>
          <w:szCs w:val="24"/>
        </w:rPr>
        <w:t>90</w:t>
      </w:r>
      <w:r w:rsidRPr="000949BF">
        <w:rPr>
          <w:rFonts w:ascii="Times New Roman" w:eastAsia="宋体" w:hAnsi="Times New Roman" w:cs="Times New Roman"/>
          <w:color w:val="000000"/>
          <w:kern w:val="0"/>
          <w:sz w:val="24"/>
          <w:szCs w:val="24"/>
        </w:rPr>
        <w:t>亿元（含</w:t>
      </w:r>
      <w:r w:rsidRPr="000949BF">
        <w:rPr>
          <w:rFonts w:ascii="Times New Roman" w:eastAsia="宋体" w:hAnsi="Times New Roman" w:cs="Times New Roman"/>
          <w:color w:val="000000"/>
          <w:kern w:val="0"/>
          <w:sz w:val="24"/>
          <w:szCs w:val="24"/>
        </w:rPr>
        <w:t>90</w:t>
      </w:r>
      <w:r w:rsidRPr="000949BF">
        <w:rPr>
          <w:rFonts w:ascii="Times New Roman" w:eastAsia="宋体" w:hAnsi="Times New Roman" w:cs="Times New Roman"/>
          <w:color w:val="000000"/>
          <w:kern w:val="0"/>
          <w:sz w:val="24"/>
          <w:szCs w:val="24"/>
        </w:rPr>
        <w:t>亿元）</w:t>
      </w:r>
      <w:r w:rsidRPr="000949BF">
        <w:rPr>
          <w:rFonts w:ascii="Times New Roman" w:eastAsia="宋体" w:hAnsi="Times New Roman" w:cs="Times New Roman" w:hint="eastAsia"/>
          <w:color w:val="000000"/>
          <w:kern w:val="0"/>
          <w:sz w:val="24"/>
          <w:szCs w:val="24"/>
        </w:rPr>
        <w:t>，</w:t>
      </w:r>
      <w:r w:rsidRPr="000949BF">
        <w:rPr>
          <w:rFonts w:ascii="Times New Roman" w:eastAsia="宋体" w:hAnsi="Times New Roman" w:cs="Times New Roman"/>
          <w:color w:val="000000"/>
          <w:kern w:val="0"/>
          <w:sz w:val="24"/>
          <w:szCs w:val="24"/>
        </w:rPr>
        <w:t>具体发行规模提请股东大会授权董事会在前述范围内确定。本期公开发行公司债券在完成必要的发行手续后</w:t>
      </w:r>
      <w:r w:rsidRPr="000949BF">
        <w:rPr>
          <w:rFonts w:ascii="Times New Roman" w:eastAsia="宋体" w:hAnsi="Times New Roman" w:cs="Times New Roman" w:hint="eastAsia"/>
          <w:color w:val="000000"/>
          <w:kern w:val="0"/>
          <w:sz w:val="24"/>
          <w:szCs w:val="24"/>
        </w:rPr>
        <w:t>，</w:t>
      </w:r>
      <w:r w:rsidRPr="000949BF">
        <w:rPr>
          <w:rFonts w:ascii="Times New Roman" w:eastAsia="宋体" w:hAnsi="Times New Roman" w:cs="Times New Roman"/>
          <w:color w:val="000000"/>
          <w:kern w:val="0"/>
          <w:sz w:val="24"/>
          <w:szCs w:val="24"/>
        </w:rPr>
        <w:t>既可以采取一次发行</w:t>
      </w:r>
      <w:r w:rsidRPr="000949BF">
        <w:rPr>
          <w:rFonts w:ascii="Times New Roman" w:eastAsia="宋体" w:hAnsi="Times New Roman" w:cs="Times New Roman" w:hint="eastAsia"/>
          <w:color w:val="000000"/>
          <w:kern w:val="0"/>
          <w:sz w:val="24"/>
          <w:szCs w:val="24"/>
        </w:rPr>
        <w:t>，</w:t>
      </w:r>
      <w:r w:rsidRPr="000949BF">
        <w:rPr>
          <w:rFonts w:ascii="Times New Roman" w:eastAsia="宋体" w:hAnsi="Times New Roman" w:cs="Times New Roman"/>
          <w:color w:val="000000"/>
          <w:kern w:val="0"/>
          <w:sz w:val="24"/>
          <w:szCs w:val="24"/>
        </w:rPr>
        <w:t>也可以采取分期发行的方式</w:t>
      </w:r>
      <w:r w:rsidRPr="000949BF">
        <w:rPr>
          <w:rFonts w:ascii="Times New Roman" w:eastAsia="宋体" w:hAnsi="Times New Roman" w:cs="Times New Roman" w:hint="eastAsia"/>
          <w:color w:val="000000"/>
          <w:kern w:val="0"/>
          <w:sz w:val="24"/>
          <w:szCs w:val="24"/>
        </w:rPr>
        <w:t>，</w:t>
      </w:r>
      <w:r w:rsidRPr="000949BF">
        <w:rPr>
          <w:rFonts w:ascii="Times New Roman" w:eastAsia="宋体" w:hAnsi="Times New Roman" w:cs="Times New Roman"/>
          <w:color w:val="000000"/>
          <w:kern w:val="0"/>
          <w:sz w:val="24"/>
          <w:szCs w:val="24"/>
        </w:rPr>
        <w:t>具体发行期数及各期发行规模将根据</w:t>
      </w:r>
      <w:r w:rsidR="004D7470">
        <w:rPr>
          <w:rFonts w:ascii="Times New Roman" w:eastAsia="宋体" w:hAnsi="Times New Roman" w:cs="Times New Roman"/>
          <w:color w:val="000000"/>
          <w:kern w:val="0"/>
          <w:sz w:val="24"/>
          <w:szCs w:val="24"/>
        </w:rPr>
        <w:t>公司资金需求和</w:t>
      </w:r>
      <w:r w:rsidRPr="000949BF">
        <w:rPr>
          <w:rFonts w:ascii="Times New Roman" w:eastAsia="宋体" w:hAnsi="Times New Roman" w:cs="Times New Roman"/>
          <w:color w:val="000000"/>
          <w:kern w:val="0"/>
          <w:sz w:val="24"/>
          <w:szCs w:val="24"/>
        </w:rPr>
        <w:t>市场情况确定。本期债券发行后将根据《公司债券发行与交易管理办法》等相关规定</w:t>
      </w:r>
      <w:r w:rsidRPr="000949BF">
        <w:rPr>
          <w:rFonts w:ascii="Times New Roman" w:eastAsia="宋体" w:hAnsi="Times New Roman" w:cs="Times New Roman" w:hint="eastAsia"/>
          <w:color w:val="000000"/>
          <w:kern w:val="0"/>
          <w:sz w:val="24"/>
          <w:szCs w:val="24"/>
        </w:rPr>
        <w:t>，</w:t>
      </w:r>
      <w:r w:rsidRPr="000949BF">
        <w:rPr>
          <w:rFonts w:ascii="Times New Roman" w:eastAsia="宋体" w:hAnsi="Times New Roman" w:cs="Times New Roman"/>
          <w:color w:val="000000"/>
          <w:kern w:val="0"/>
          <w:sz w:val="24"/>
          <w:szCs w:val="24"/>
        </w:rPr>
        <w:t>履行必要的备案程序。</w:t>
      </w:r>
    </w:p>
    <w:p w:rsidR="00867794" w:rsidRPr="00867794" w:rsidRDefault="00867794" w:rsidP="00867794">
      <w:pPr>
        <w:pStyle w:val="a3"/>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867794">
        <w:rPr>
          <w:rFonts w:ascii="Times New Roman" w:eastAsia="宋体" w:hAnsi="Times New Roman" w:cs="Times New Roman"/>
          <w:color w:val="000000"/>
          <w:kern w:val="0"/>
          <w:sz w:val="24"/>
          <w:szCs w:val="24"/>
        </w:rPr>
        <w:t>向公司股东配售的安排</w:t>
      </w:r>
    </w:p>
    <w:p w:rsidR="002A3F2C" w:rsidRDefault="00B04A64" w:rsidP="000949BF">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sidRPr="002C0233">
        <w:rPr>
          <w:rFonts w:ascii="Times New Roman" w:eastAsia="宋体" w:hAnsi="Times New Roman" w:cs="Times New Roman" w:hint="eastAsia"/>
          <w:color w:val="000000"/>
          <w:kern w:val="0"/>
          <w:sz w:val="24"/>
          <w:szCs w:val="24"/>
        </w:rPr>
        <w:t>本期公司债券不向公司股东优先配售。</w:t>
      </w:r>
    </w:p>
    <w:p w:rsidR="00867794" w:rsidRPr="002A3F2C" w:rsidRDefault="00867794" w:rsidP="002A3F2C">
      <w:pPr>
        <w:pStyle w:val="a3"/>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2A3F2C">
        <w:rPr>
          <w:rFonts w:ascii="Times New Roman" w:eastAsia="宋体" w:hAnsi="Times New Roman" w:cs="Times New Roman"/>
          <w:color w:val="000000"/>
          <w:kern w:val="0"/>
          <w:sz w:val="24"/>
          <w:szCs w:val="24"/>
        </w:rPr>
        <w:t>债券期限</w:t>
      </w:r>
    </w:p>
    <w:p w:rsidR="002A3F2C" w:rsidRPr="002A3F2C" w:rsidRDefault="000949BF" w:rsidP="000949BF">
      <w:pPr>
        <w:spacing w:line="360" w:lineRule="auto"/>
        <w:ind w:left="108" w:firstLineChars="200" w:firstLine="480"/>
        <w:rPr>
          <w:rFonts w:ascii="Times New Roman" w:hAnsi="Times New Roman" w:cs="Times New Roman"/>
          <w:color w:val="000000"/>
          <w:kern w:val="0"/>
          <w:sz w:val="24"/>
          <w:szCs w:val="24"/>
        </w:rPr>
      </w:pPr>
      <w:r w:rsidRPr="000949BF">
        <w:rPr>
          <w:rFonts w:ascii="Times New Roman" w:hAnsi="Times New Roman" w:cs="Times New Roman"/>
          <w:color w:val="000000"/>
          <w:kern w:val="0"/>
          <w:sz w:val="24"/>
          <w:szCs w:val="24"/>
        </w:rPr>
        <w:t>本期公开发行公司债券期限为不超过</w:t>
      </w:r>
      <w:r w:rsidRPr="000949BF">
        <w:rPr>
          <w:rFonts w:ascii="Times New Roman" w:hAnsi="Times New Roman" w:cs="Times New Roman" w:hint="eastAsia"/>
          <w:color w:val="000000"/>
          <w:kern w:val="0"/>
          <w:sz w:val="24"/>
          <w:szCs w:val="24"/>
        </w:rPr>
        <w:t>10</w:t>
      </w:r>
      <w:r w:rsidRPr="000949BF">
        <w:rPr>
          <w:rFonts w:ascii="Times New Roman" w:hAnsi="Times New Roman" w:cs="Times New Roman"/>
          <w:color w:val="000000"/>
          <w:kern w:val="0"/>
          <w:sz w:val="24"/>
          <w:szCs w:val="24"/>
        </w:rPr>
        <w:t>年</w:t>
      </w:r>
      <w:r w:rsidR="004D7470">
        <w:rPr>
          <w:rFonts w:ascii="Times New Roman" w:hAnsi="Times New Roman" w:cs="Times New Roman" w:hint="eastAsia"/>
          <w:color w:val="000000"/>
          <w:kern w:val="0"/>
          <w:sz w:val="24"/>
          <w:szCs w:val="24"/>
        </w:rPr>
        <w:t>（</w:t>
      </w:r>
      <w:r w:rsidRPr="000949BF">
        <w:rPr>
          <w:rFonts w:ascii="Times New Roman" w:hAnsi="Times New Roman" w:cs="Times New Roman"/>
          <w:color w:val="000000"/>
          <w:kern w:val="0"/>
          <w:sz w:val="24"/>
          <w:szCs w:val="24"/>
        </w:rPr>
        <w:t>含</w:t>
      </w:r>
      <w:r w:rsidRPr="000949BF">
        <w:rPr>
          <w:rFonts w:ascii="Times New Roman" w:hAnsi="Times New Roman" w:cs="Times New Roman" w:hint="eastAsia"/>
          <w:color w:val="000000"/>
          <w:kern w:val="0"/>
          <w:sz w:val="24"/>
          <w:szCs w:val="24"/>
        </w:rPr>
        <w:t>10</w:t>
      </w:r>
      <w:r w:rsidRPr="000949BF">
        <w:rPr>
          <w:rFonts w:ascii="Times New Roman" w:hAnsi="Times New Roman" w:cs="Times New Roman"/>
          <w:color w:val="000000"/>
          <w:kern w:val="0"/>
          <w:sz w:val="24"/>
          <w:szCs w:val="24"/>
        </w:rPr>
        <w:t>年</w:t>
      </w:r>
      <w:r w:rsidR="004D7470">
        <w:rPr>
          <w:rFonts w:ascii="Times New Roman" w:hAnsi="Times New Roman" w:cs="Times New Roman" w:hint="eastAsia"/>
          <w:color w:val="000000"/>
          <w:kern w:val="0"/>
          <w:sz w:val="24"/>
          <w:szCs w:val="24"/>
        </w:rPr>
        <w:t>）</w:t>
      </w:r>
      <w:r w:rsidRPr="000949BF">
        <w:rPr>
          <w:rFonts w:ascii="Times New Roman" w:hAnsi="Times New Roman" w:cs="Times New Roman" w:hint="eastAsia"/>
          <w:color w:val="000000"/>
          <w:kern w:val="0"/>
          <w:sz w:val="24"/>
          <w:szCs w:val="24"/>
        </w:rPr>
        <w:t>，</w:t>
      </w:r>
      <w:r w:rsidRPr="000949BF">
        <w:rPr>
          <w:rFonts w:ascii="Times New Roman" w:hAnsi="Times New Roman" w:cs="Times New Roman"/>
          <w:color w:val="000000"/>
          <w:kern w:val="0"/>
          <w:sz w:val="24"/>
          <w:szCs w:val="24"/>
        </w:rPr>
        <w:t>可以为单一期限品种</w:t>
      </w:r>
      <w:r w:rsidRPr="000949BF">
        <w:rPr>
          <w:rFonts w:ascii="Times New Roman" w:hAnsi="Times New Roman" w:cs="Times New Roman" w:hint="eastAsia"/>
          <w:color w:val="000000"/>
          <w:kern w:val="0"/>
          <w:sz w:val="24"/>
          <w:szCs w:val="24"/>
        </w:rPr>
        <w:t>，</w:t>
      </w:r>
      <w:r w:rsidRPr="000949BF">
        <w:rPr>
          <w:rFonts w:ascii="Times New Roman" w:hAnsi="Times New Roman" w:cs="Times New Roman"/>
          <w:color w:val="000000"/>
          <w:kern w:val="0"/>
          <w:sz w:val="24"/>
          <w:szCs w:val="24"/>
        </w:rPr>
        <w:t>也可以为多种期限的混合品种</w:t>
      </w:r>
      <w:r w:rsidRPr="000949BF">
        <w:rPr>
          <w:rFonts w:ascii="Times New Roman" w:hAnsi="Times New Roman" w:cs="Times New Roman" w:hint="eastAsia"/>
          <w:color w:val="000000"/>
          <w:kern w:val="0"/>
          <w:sz w:val="24"/>
          <w:szCs w:val="24"/>
        </w:rPr>
        <w:t>，</w:t>
      </w:r>
      <w:r w:rsidRPr="000949BF">
        <w:rPr>
          <w:rFonts w:ascii="Times New Roman" w:hAnsi="Times New Roman" w:cs="Times New Roman"/>
          <w:color w:val="000000"/>
          <w:kern w:val="0"/>
          <w:sz w:val="24"/>
          <w:szCs w:val="24"/>
        </w:rPr>
        <w:t>具体存续期限提请股东大会授权董事会根据资金需求情况和发行时市场情况在上述范围内确定。</w:t>
      </w:r>
    </w:p>
    <w:p w:rsidR="002A3F2C" w:rsidRPr="002A3F2C" w:rsidRDefault="002A3F2C" w:rsidP="002A3F2C">
      <w:pPr>
        <w:pStyle w:val="a3"/>
        <w:numPr>
          <w:ilvl w:val="0"/>
          <w:numId w:val="2"/>
        </w:numPr>
        <w:autoSpaceDE w:val="0"/>
        <w:autoSpaceDN w:val="0"/>
        <w:adjustRightInd w:val="0"/>
        <w:spacing w:line="360" w:lineRule="auto"/>
        <w:ind w:firstLineChars="0"/>
        <w:jc w:val="left"/>
        <w:rPr>
          <w:rFonts w:ascii="Times New Roman" w:eastAsia="宋体" w:hAnsi="Times New Roman" w:cs="Times New Roman"/>
          <w:color w:val="000000"/>
          <w:kern w:val="0"/>
          <w:sz w:val="24"/>
          <w:szCs w:val="24"/>
        </w:rPr>
      </w:pPr>
      <w:r w:rsidRPr="002A3F2C">
        <w:rPr>
          <w:rFonts w:ascii="Times New Roman" w:eastAsia="宋体" w:hAnsi="Times New Roman" w:cs="Times New Roman" w:hint="eastAsia"/>
          <w:color w:val="000000"/>
          <w:kern w:val="0"/>
          <w:sz w:val="24"/>
          <w:szCs w:val="24"/>
        </w:rPr>
        <w:t>债券利率及确定方式</w:t>
      </w:r>
    </w:p>
    <w:p w:rsidR="002A3F2C" w:rsidRDefault="000949BF" w:rsidP="000949BF">
      <w:pPr>
        <w:snapToGrid w:val="0"/>
        <w:spacing w:line="360" w:lineRule="auto"/>
        <w:ind w:firstLineChars="200" w:firstLine="480"/>
        <w:rPr>
          <w:rFonts w:ascii="Times New Roman" w:hAnsi="Times New Roman" w:cs="Times New Roman"/>
          <w:sz w:val="24"/>
        </w:rPr>
      </w:pPr>
      <w:r w:rsidRPr="000949BF">
        <w:rPr>
          <w:rFonts w:ascii="Times New Roman" w:hAnsi="Times New Roman" w:cs="Times New Roman"/>
          <w:sz w:val="24"/>
        </w:rPr>
        <w:t>本期公开发行公司债券为固定利率</w:t>
      </w:r>
      <w:r w:rsidR="004A4A64">
        <w:rPr>
          <w:rFonts w:ascii="Times New Roman" w:hAnsi="Times New Roman" w:cs="Times New Roman"/>
          <w:sz w:val="24"/>
        </w:rPr>
        <w:t>或浮动利率</w:t>
      </w:r>
      <w:r w:rsidRPr="000949BF">
        <w:rPr>
          <w:rFonts w:ascii="Times New Roman" w:hAnsi="Times New Roman" w:cs="Times New Roman"/>
          <w:sz w:val="24"/>
        </w:rPr>
        <w:t>债券，采取网下发行的方式</w:t>
      </w:r>
      <w:r w:rsidRPr="000949BF">
        <w:rPr>
          <w:rFonts w:ascii="Times New Roman" w:hAnsi="Times New Roman" w:cs="Times New Roman" w:hint="eastAsia"/>
          <w:sz w:val="24"/>
        </w:rPr>
        <w:t>，</w:t>
      </w:r>
      <w:r>
        <w:rPr>
          <w:rFonts w:ascii="Times New Roman" w:hAnsi="Times New Roman" w:cs="Times New Roman"/>
          <w:sz w:val="24"/>
        </w:rPr>
        <w:t>票面利率及其利息支付方式由公司和承销商根据市场情况确定</w:t>
      </w:r>
      <w:r w:rsidR="002A3F2C" w:rsidRPr="002A3F2C">
        <w:rPr>
          <w:rFonts w:ascii="Times New Roman" w:hAnsi="Times New Roman" w:cs="Times New Roman"/>
          <w:sz w:val="24"/>
        </w:rPr>
        <w:t>。</w:t>
      </w:r>
    </w:p>
    <w:p w:rsidR="00B83E22" w:rsidRDefault="00B83E22" w:rsidP="00BE5148">
      <w:pPr>
        <w:pStyle w:val="a3"/>
        <w:numPr>
          <w:ilvl w:val="0"/>
          <w:numId w:val="2"/>
        </w:numPr>
        <w:snapToGrid w:val="0"/>
        <w:spacing w:line="360" w:lineRule="auto"/>
        <w:ind w:firstLineChars="0"/>
        <w:rPr>
          <w:rFonts w:ascii="Times New Roman" w:hAnsi="Times New Roman" w:cs="Times New Roman"/>
          <w:sz w:val="24"/>
        </w:rPr>
      </w:pPr>
      <w:r>
        <w:rPr>
          <w:rFonts w:ascii="Times New Roman" w:hAnsi="Times New Roman" w:cs="Times New Roman" w:hint="eastAsia"/>
          <w:sz w:val="24"/>
        </w:rPr>
        <w:lastRenderedPageBreak/>
        <w:t>发行对象</w:t>
      </w:r>
    </w:p>
    <w:p w:rsidR="002A3F2C" w:rsidRDefault="000949BF" w:rsidP="000949BF">
      <w:pPr>
        <w:autoSpaceDE w:val="0"/>
        <w:autoSpaceDN w:val="0"/>
        <w:adjustRightInd w:val="0"/>
        <w:spacing w:line="360" w:lineRule="auto"/>
        <w:ind w:firstLineChars="200" w:firstLine="480"/>
        <w:jc w:val="left"/>
        <w:rPr>
          <w:rFonts w:ascii="Times New Roman" w:hAnsi="Times New Roman" w:cs="Times New Roman"/>
          <w:sz w:val="24"/>
        </w:rPr>
      </w:pPr>
      <w:r w:rsidRPr="000949BF">
        <w:rPr>
          <w:rFonts w:ascii="Times New Roman" w:hAnsi="Times New Roman" w:cs="Times New Roman"/>
          <w:sz w:val="24"/>
        </w:rPr>
        <w:t>本期公开发行公司债券拟</w:t>
      </w:r>
      <w:proofErr w:type="gramStart"/>
      <w:r w:rsidRPr="000949BF">
        <w:rPr>
          <w:rFonts w:ascii="Times New Roman" w:hAnsi="Times New Roman" w:cs="Times New Roman"/>
          <w:sz w:val="24"/>
        </w:rPr>
        <w:t>向具备</w:t>
      </w:r>
      <w:proofErr w:type="gramEnd"/>
      <w:r w:rsidRPr="000949BF">
        <w:rPr>
          <w:rFonts w:ascii="Times New Roman" w:hAnsi="Times New Roman" w:cs="Times New Roman"/>
          <w:sz w:val="24"/>
        </w:rPr>
        <w:t>相应风险识别和承担能力且符合《公司债券</w:t>
      </w:r>
      <w:r>
        <w:rPr>
          <w:rFonts w:ascii="Times New Roman" w:hAnsi="Times New Roman" w:cs="Times New Roman"/>
          <w:sz w:val="24"/>
        </w:rPr>
        <w:t>发行与交易管理办法》的合格投资者发行</w:t>
      </w:r>
      <w:r w:rsidR="00B83E22" w:rsidRPr="00B83E22">
        <w:rPr>
          <w:rFonts w:ascii="Times New Roman" w:hAnsi="Times New Roman" w:cs="Times New Roman" w:hint="eastAsia"/>
          <w:sz w:val="24"/>
        </w:rPr>
        <w:t>。</w:t>
      </w:r>
    </w:p>
    <w:p w:rsidR="00B83E22" w:rsidRDefault="00B83E22" w:rsidP="00B83E22">
      <w:pPr>
        <w:pStyle w:val="a3"/>
        <w:numPr>
          <w:ilvl w:val="0"/>
          <w:numId w:val="2"/>
        </w:numPr>
        <w:autoSpaceDE w:val="0"/>
        <w:autoSpaceDN w:val="0"/>
        <w:adjustRightInd w:val="0"/>
        <w:spacing w:line="360" w:lineRule="auto"/>
        <w:ind w:firstLineChars="0"/>
        <w:jc w:val="left"/>
        <w:rPr>
          <w:rFonts w:ascii="Times New Roman" w:hAnsi="Times New Roman" w:cs="Times New Roman"/>
          <w:sz w:val="24"/>
        </w:rPr>
      </w:pPr>
      <w:r>
        <w:rPr>
          <w:rFonts w:ascii="Times New Roman" w:hAnsi="Times New Roman" w:cs="Times New Roman" w:hint="eastAsia"/>
          <w:sz w:val="24"/>
        </w:rPr>
        <w:t>募集资金的用途</w:t>
      </w:r>
    </w:p>
    <w:p w:rsidR="00B83E22" w:rsidRDefault="000949BF" w:rsidP="000949BF">
      <w:pPr>
        <w:autoSpaceDE w:val="0"/>
        <w:autoSpaceDN w:val="0"/>
        <w:adjustRightInd w:val="0"/>
        <w:spacing w:line="360" w:lineRule="auto"/>
        <w:ind w:firstLineChars="200" w:firstLine="480"/>
        <w:jc w:val="left"/>
        <w:rPr>
          <w:rFonts w:ascii="Times New Roman" w:hAnsi="Times New Roman" w:cs="Times New Roman"/>
          <w:sz w:val="24"/>
        </w:rPr>
      </w:pPr>
      <w:r w:rsidRPr="000949BF">
        <w:rPr>
          <w:rFonts w:ascii="Times New Roman" w:hAnsi="Times New Roman" w:cs="Times New Roman"/>
          <w:sz w:val="24"/>
        </w:rPr>
        <w:t>本期公开发行公司债券募集资金将用于补充</w:t>
      </w:r>
      <w:r w:rsidRPr="000949BF">
        <w:rPr>
          <w:rFonts w:ascii="Times New Roman" w:hAnsi="Times New Roman" w:cs="Times New Roman" w:hint="eastAsia"/>
          <w:sz w:val="24"/>
        </w:rPr>
        <w:t>公司</w:t>
      </w:r>
      <w:r w:rsidRPr="000949BF">
        <w:rPr>
          <w:rFonts w:ascii="Times New Roman" w:hAnsi="Times New Roman" w:cs="Times New Roman"/>
          <w:sz w:val="24"/>
        </w:rPr>
        <w:t>（含下属公司）营运资金、偿还公司（含下属公司）借款，</w:t>
      </w:r>
      <w:r>
        <w:rPr>
          <w:rFonts w:ascii="Times New Roman" w:hAnsi="Times New Roman" w:cs="Times New Roman"/>
          <w:sz w:val="24"/>
        </w:rPr>
        <w:t>具体募集资金用途提请股东大会授权董事会根据公司资金需求情况确定</w:t>
      </w:r>
      <w:r w:rsidR="00B83E22">
        <w:rPr>
          <w:rFonts w:ascii="Times New Roman" w:hAnsi="Times New Roman" w:cs="Times New Roman" w:hint="eastAsia"/>
          <w:sz w:val="24"/>
        </w:rPr>
        <w:t>。</w:t>
      </w:r>
    </w:p>
    <w:p w:rsidR="00B83E22" w:rsidRDefault="00B83E22" w:rsidP="00B83E22">
      <w:pPr>
        <w:pStyle w:val="a3"/>
        <w:numPr>
          <w:ilvl w:val="0"/>
          <w:numId w:val="2"/>
        </w:numPr>
        <w:autoSpaceDE w:val="0"/>
        <w:autoSpaceDN w:val="0"/>
        <w:adjustRightInd w:val="0"/>
        <w:spacing w:line="360" w:lineRule="auto"/>
        <w:ind w:firstLineChars="0"/>
        <w:jc w:val="left"/>
        <w:rPr>
          <w:rFonts w:ascii="Times New Roman" w:hAnsi="Times New Roman" w:cs="Times New Roman"/>
          <w:sz w:val="24"/>
        </w:rPr>
      </w:pPr>
      <w:r>
        <w:rPr>
          <w:rFonts w:ascii="Times New Roman" w:hAnsi="Times New Roman" w:cs="Times New Roman" w:hint="eastAsia"/>
          <w:sz w:val="24"/>
        </w:rPr>
        <w:t>担保条款</w:t>
      </w:r>
    </w:p>
    <w:p w:rsidR="00B83E22" w:rsidRDefault="000949BF" w:rsidP="000949BF">
      <w:pPr>
        <w:autoSpaceDE w:val="0"/>
        <w:autoSpaceDN w:val="0"/>
        <w:adjustRightInd w:val="0"/>
        <w:spacing w:line="360" w:lineRule="auto"/>
        <w:ind w:firstLineChars="200" w:firstLine="480"/>
        <w:jc w:val="left"/>
        <w:rPr>
          <w:rFonts w:hAnsi="宋体"/>
          <w:sz w:val="24"/>
        </w:rPr>
      </w:pPr>
      <w:r w:rsidRPr="000949BF">
        <w:rPr>
          <w:rFonts w:hAnsi="宋体"/>
          <w:sz w:val="24"/>
        </w:rPr>
        <w:t>本期公开发行公司债券无担保</w:t>
      </w:r>
      <w:r w:rsidR="00B83E22" w:rsidRPr="00B83E22">
        <w:rPr>
          <w:rFonts w:hAnsi="宋体"/>
          <w:sz w:val="24"/>
        </w:rPr>
        <w:t>。</w:t>
      </w:r>
    </w:p>
    <w:p w:rsidR="00B83E22" w:rsidRDefault="00C529A9" w:rsidP="00B83E22">
      <w:pPr>
        <w:pStyle w:val="a3"/>
        <w:numPr>
          <w:ilvl w:val="0"/>
          <w:numId w:val="2"/>
        </w:numPr>
        <w:autoSpaceDE w:val="0"/>
        <w:autoSpaceDN w:val="0"/>
        <w:adjustRightInd w:val="0"/>
        <w:spacing w:line="360" w:lineRule="auto"/>
        <w:ind w:firstLineChars="0"/>
        <w:jc w:val="left"/>
        <w:rPr>
          <w:rFonts w:ascii="Times New Roman" w:hAnsi="Times New Roman" w:cs="Times New Roman"/>
          <w:sz w:val="24"/>
        </w:rPr>
      </w:pPr>
      <w:r>
        <w:rPr>
          <w:rFonts w:ascii="Times New Roman" w:hAnsi="Times New Roman" w:cs="Times New Roman" w:hint="eastAsia"/>
          <w:sz w:val="24"/>
        </w:rPr>
        <w:t>债券交易流通</w:t>
      </w:r>
    </w:p>
    <w:p w:rsidR="005B5C1D" w:rsidRDefault="00D07843">
      <w:pPr>
        <w:autoSpaceDE w:val="0"/>
        <w:autoSpaceDN w:val="0"/>
        <w:adjustRightInd w:val="0"/>
        <w:spacing w:line="360" w:lineRule="auto"/>
        <w:ind w:firstLineChars="200" w:firstLine="480"/>
        <w:jc w:val="left"/>
        <w:rPr>
          <w:rFonts w:ascii="Times New Roman" w:hAnsi="Times New Roman" w:cs="Times New Roman"/>
          <w:sz w:val="24"/>
        </w:rPr>
      </w:pPr>
      <w:r w:rsidRPr="00D07843">
        <w:rPr>
          <w:rFonts w:ascii="Times New Roman" w:hAnsi="Times New Roman" w:cs="Times New Roman" w:hint="eastAsia"/>
          <w:sz w:val="24"/>
        </w:rPr>
        <w:t>本期公开发行公司债券发行成功后，将在深圳证券交易所申请上市交易</w:t>
      </w:r>
      <w:r w:rsidR="00A6723E" w:rsidRPr="00C529A9">
        <w:rPr>
          <w:rFonts w:ascii="Times New Roman" w:hAnsi="Times New Roman" w:cs="Times New Roman" w:hint="eastAsia"/>
          <w:sz w:val="24"/>
        </w:rPr>
        <w:t>。</w:t>
      </w:r>
    </w:p>
    <w:p w:rsidR="00B83E22" w:rsidRDefault="00B83E22" w:rsidP="00B83E22">
      <w:pPr>
        <w:pStyle w:val="a3"/>
        <w:numPr>
          <w:ilvl w:val="0"/>
          <w:numId w:val="2"/>
        </w:numPr>
        <w:autoSpaceDE w:val="0"/>
        <w:autoSpaceDN w:val="0"/>
        <w:adjustRightInd w:val="0"/>
        <w:spacing w:line="360" w:lineRule="auto"/>
        <w:ind w:firstLineChars="0"/>
        <w:jc w:val="left"/>
        <w:rPr>
          <w:rFonts w:ascii="Times New Roman" w:hAnsi="Times New Roman" w:cs="Times New Roman"/>
          <w:sz w:val="24"/>
        </w:rPr>
      </w:pPr>
      <w:r>
        <w:rPr>
          <w:rFonts w:ascii="Times New Roman" w:hAnsi="Times New Roman" w:cs="Times New Roman" w:hint="eastAsia"/>
          <w:sz w:val="24"/>
        </w:rPr>
        <w:t>决议有效期</w:t>
      </w:r>
    </w:p>
    <w:p w:rsidR="00B83E22" w:rsidRDefault="000949BF" w:rsidP="000949BF">
      <w:pPr>
        <w:autoSpaceDE w:val="0"/>
        <w:autoSpaceDN w:val="0"/>
        <w:adjustRightInd w:val="0"/>
        <w:spacing w:line="360" w:lineRule="auto"/>
        <w:ind w:firstLineChars="200" w:firstLine="480"/>
        <w:jc w:val="left"/>
        <w:rPr>
          <w:rFonts w:ascii="Times New Roman" w:hAnsi="Times New Roman" w:cs="Times New Roman"/>
          <w:sz w:val="24"/>
        </w:rPr>
      </w:pPr>
      <w:r w:rsidRPr="000949BF">
        <w:rPr>
          <w:rFonts w:ascii="Times New Roman" w:hAnsi="Times New Roman" w:cs="Times New Roman"/>
          <w:sz w:val="24"/>
        </w:rPr>
        <w:t>本期公开发行公司债券决议的有效期为自本次董事会审议通过之日起</w:t>
      </w:r>
      <w:r w:rsidR="00C529A9">
        <w:rPr>
          <w:rFonts w:ascii="Times New Roman" w:hAnsi="Times New Roman" w:cs="Times New Roman" w:hint="eastAsia"/>
          <w:sz w:val="24"/>
        </w:rPr>
        <w:t>36</w:t>
      </w:r>
      <w:r w:rsidRPr="000949BF">
        <w:rPr>
          <w:rFonts w:ascii="Times New Roman" w:hAnsi="Times New Roman" w:cs="Times New Roman"/>
          <w:sz w:val="24"/>
        </w:rPr>
        <w:t>个月。</w:t>
      </w:r>
    </w:p>
    <w:p w:rsidR="00B83E22" w:rsidRPr="00652E9E" w:rsidRDefault="000949BF" w:rsidP="000949BF">
      <w:pPr>
        <w:pStyle w:val="a3"/>
        <w:numPr>
          <w:ilvl w:val="0"/>
          <w:numId w:val="1"/>
        </w:numPr>
        <w:spacing w:line="360" w:lineRule="auto"/>
        <w:ind w:left="108" w:firstLine="482"/>
        <w:rPr>
          <w:rFonts w:ascii="宋体" w:eastAsia="宋体" w:cs="宋体"/>
          <w:b/>
          <w:color w:val="000000"/>
          <w:kern w:val="0"/>
          <w:sz w:val="24"/>
          <w:szCs w:val="24"/>
        </w:rPr>
      </w:pPr>
      <w:r w:rsidRPr="000949BF">
        <w:rPr>
          <w:rFonts w:ascii="宋体" w:eastAsia="宋体" w:cs="宋体" w:hint="eastAsia"/>
          <w:b/>
          <w:color w:val="000000"/>
          <w:kern w:val="0"/>
          <w:sz w:val="24"/>
          <w:szCs w:val="24"/>
        </w:rPr>
        <w:t>本期公开发行公司债券的授权</w:t>
      </w:r>
    </w:p>
    <w:p w:rsidR="000D66A6" w:rsidRPr="000D66A6" w:rsidRDefault="000949BF" w:rsidP="000949BF">
      <w:pPr>
        <w:autoSpaceDE w:val="0"/>
        <w:autoSpaceDN w:val="0"/>
        <w:adjustRightInd w:val="0"/>
        <w:spacing w:line="360" w:lineRule="auto"/>
        <w:ind w:firstLineChars="200" w:firstLine="480"/>
        <w:jc w:val="left"/>
        <w:rPr>
          <w:rFonts w:ascii="Times New Roman" w:hAnsi="Times New Roman" w:cs="Times New Roman"/>
          <w:sz w:val="24"/>
          <w:szCs w:val="24"/>
        </w:rPr>
      </w:pPr>
      <w:r w:rsidRPr="000949BF">
        <w:rPr>
          <w:rFonts w:ascii="Times New Roman" w:hAnsi="Times New Roman" w:cs="Times New Roman"/>
          <w:sz w:val="24"/>
          <w:szCs w:val="24"/>
        </w:rPr>
        <w:t>提请股东大会授权董事会并在董事会获得授权后授权经理班子依照《公司法》、《证券法》及《公司债券发行与交易管理办法》等法律法规及《公司章程》的有关规定以及届时的市场条件，全权办理</w:t>
      </w:r>
      <w:r w:rsidR="004D50BB">
        <w:rPr>
          <w:rFonts w:ascii="Times New Roman" w:hAnsi="Times New Roman" w:cs="Times New Roman"/>
          <w:sz w:val="24"/>
          <w:szCs w:val="24"/>
        </w:rPr>
        <w:t>公司</w:t>
      </w:r>
      <w:r w:rsidRPr="000949BF">
        <w:rPr>
          <w:rFonts w:ascii="Times New Roman" w:hAnsi="Times New Roman" w:cs="Times New Roman"/>
          <w:sz w:val="24"/>
          <w:szCs w:val="24"/>
        </w:rPr>
        <w:t>债券发行的相关事宜。</w:t>
      </w:r>
    </w:p>
    <w:p w:rsidR="000D66A6" w:rsidRDefault="000D66A6" w:rsidP="0038656B">
      <w:pPr>
        <w:pStyle w:val="a3"/>
        <w:numPr>
          <w:ilvl w:val="0"/>
          <w:numId w:val="1"/>
        </w:numPr>
        <w:autoSpaceDE w:val="0"/>
        <w:autoSpaceDN w:val="0"/>
        <w:adjustRightInd w:val="0"/>
        <w:spacing w:line="360" w:lineRule="auto"/>
        <w:ind w:left="108" w:firstLine="482"/>
        <w:jc w:val="left"/>
        <w:rPr>
          <w:rFonts w:ascii="Times New Roman" w:hAnsi="Times New Roman" w:cs="Times New Roman"/>
          <w:b/>
          <w:sz w:val="24"/>
        </w:rPr>
      </w:pPr>
      <w:r w:rsidRPr="007622C5">
        <w:rPr>
          <w:rFonts w:ascii="Times New Roman" w:hAnsi="Times New Roman" w:cs="Times New Roman" w:hint="eastAsia"/>
          <w:b/>
          <w:sz w:val="24"/>
        </w:rPr>
        <w:t>公司简要财务会计信息</w:t>
      </w:r>
    </w:p>
    <w:p w:rsidR="0038656B" w:rsidRPr="0038656B" w:rsidRDefault="0038656B" w:rsidP="000949BF">
      <w:pPr>
        <w:autoSpaceDE w:val="0"/>
        <w:autoSpaceDN w:val="0"/>
        <w:adjustRightInd w:val="0"/>
        <w:spacing w:line="360" w:lineRule="auto"/>
        <w:ind w:firstLineChars="200" w:firstLine="482"/>
        <w:jc w:val="left"/>
        <w:outlineLvl w:val="0"/>
        <w:rPr>
          <w:rFonts w:ascii="Times New Roman" w:hAnsi="Times New Roman" w:cs="Times New Roman"/>
          <w:b/>
          <w:sz w:val="24"/>
        </w:rPr>
      </w:pPr>
      <w:r w:rsidRPr="0038656B">
        <w:rPr>
          <w:rFonts w:ascii="Times New Roman" w:hAnsi="Times New Roman" w:cs="Times New Roman" w:hint="eastAsia"/>
          <w:b/>
          <w:sz w:val="24"/>
        </w:rPr>
        <w:t>（一）公司最近三年及一期合并及母公司财务报表</w:t>
      </w:r>
    </w:p>
    <w:p w:rsidR="000949BF" w:rsidRDefault="000949BF" w:rsidP="007622C5">
      <w:pPr>
        <w:autoSpaceDE w:val="0"/>
        <w:autoSpaceDN w:val="0"/>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公司</w:t>
      </w:r>
      <w:r>
        <w:rPr>
          <w:rFonts w:ascii="Times New Roman" w:hAnsi="Times New Roman" w:cs="Times New Roman" w:hint="eastAsia"/>
          <w:sz w:val="24"/>
        </w:rPr>
        <w:t>2012</w:t>
      </w:r>
      <w:r>
        <w:rPr>
          <w:rFonts w:ascii="Times New Roman" w:hAnsi="Times New Roman" w:cs="Times New Roman" w:hint="eastAsia"/>
          <w:sz w:val="24"/>
        </w:rPr>
        <w:t>年度、</w:t>
      </w:r>
      <w:r>
        <w:rPr>
          <w:rFonts w:ascii="Times New Roman" w:hAnsi="Times New Roman" w:cs="Times New Roman" w:hint="eastAsia"/>
          <w:sz w:val="24"/>
        </w:rPr>
        <w:t>2013</w:t>
      </w:r>
      <w:r>
        <w:rPr>
          <w:rFonts w:ascii="Times New Roman" w:hAnsi="Times New Roman" w:cs="Times New Roman" w:hint="eastAsia"/>
          <w:sz w:val="24"/>
        </w:rPr>
        <w:t>年度、</w:t>
      </w:r>
      <w:r>
        <w:rPr>
          <w:rFonts w:ascii="Times New Roman" w:hAnsi="Times New Roman" w:cs="Times New Roman" w:hint="eastAsia"/>
          <w:sz w:val="24"/>
        </w:rPr>
        <w:t>2014</w:t>
      </w:r>
      <w:r>
        <w:rPr>
          <w:rFonts w:ascii="Times New Roman" w:hAnsi="Times New Roman" w:cs="Times New Roman" w:hint="eastAsia"/>
          <w:sz w:val="24"/>
        </w:rPr>
        <w:t>年度和</w:t>
      </w:r>
      <w:r>
        <w:rPr>
          <w:rFonts w:ascii="Times New Roman" w:hAnsi="Times New Roman" w:cs="Times New Roman" w:hint="eastAsia"/>
          <w:sz w:val="24"/>
        </w:rPr>
        <w:t>2015</w:t>
      </w:r>
      <w:r>
        <w:rPr>
          <w:rFonts w:ascii="Times New Roman" w:hAnsi="Times New Roman" w:cs="Times New Roman" w:hint="eastAsia"/>
          <w:sz w:val="24"/>
        </w:rPr>
        <w:t>年一季度合并以及母公司财务数据分</w:t>
      </w:r>
      <w:r w:rsidR="00B55BA7">
        <w:rPr>
          <w:rFonts w:ascii="Times New Roman" w:hAnsi="Times New Roman" w:cs="Times New Roman" w:hint="eastAsia"/>
          <w:sz w:val="24"/>
        </w:rPr>
        <w:t>别</w:t>
      </w:r>
      <w:r>
        <w:rPr>
          <w:rFonts w:ascii="Times New Roman" w:hAnsi="Times New Roman" w:cs="Times New Roman" w:hint="eastAsia"/>
          <w:sz w:val="24"/>
        </w:rPr>
        <w:t>引自</w:t>
      </w:r>
      <w:r w:rsidR="009A6EBA" w:rsidRPr="009A6EBA">
        <w:rPr>
          <w:rFonts w:ascii="Times New Roman" w:hAnsi="Times New Roman" w:cs="Times New Roman" w:hint="eastAsia"/>
          <w:sz w:val="24"/>
        </w:rPr>
        <w:t>中瑞岳华会计师事务所（特殊普通合伙）</w:t>
      </w:r>
      <w:r w:rsidR="009A6EBA">
        <w:rPr>
          <w:rFonts w:ascii="Times New Roman" w:hAnsi="Times New Roman" w:cs="Times New Roman" w:hint="eastAsia"/>
          <w:sz w:val="24"/>
        </w:rPr>
        <w:t>和</w:t>
      </w:r>
      <w:r>
        <w:rPr>
          <w:rFonts w:ascii="Times New Roman" w:hAnsi="Times New Roman" w:cs="Times New Roman" w:hint="eastAsia"/>
          <w:sz w:val="24"/>
        </w:rPr>
        <w:t>瑞华会计师事务所（特殊普通合伙）出具的</w:t>
      </w:r>
      <w:r w:rsidR="00B46EC4" w:rsidRPr="00B46EC4">
        <w:rPr>
          <w:rFonts w:ascii="Times New Roman" w:hAnsi="Times New Roman" w:cs="Times New Roman" w:hint="eastAsia"/>
          <w:sz w:val="24"/>
        </w:rPr>
        <w:t>中瑞岳华审字【</w:t>
      </w:r>
      <w:r w:rsidR="00B46EC4" w:rsidRPr="00B46EC4">
        <w:rPr>
          <w:rFonts w:ascii="Times New Roman" w:hAnsi="Times New Roman" w:cs="Times New Roman" w:hint="eastAsia"/>
          <w:sz w:val="24"/>
        </w:rPr>
        <w:t>2013</w:t>
      </w:r>
      <w:r w:rsidR="00B46EC4" w:rsidRPr="00B46EC4">
        <w:rPr>
          <w:rFonts w:ascii="Times New Roman" w:hAnsi="Times New Roman" w:cs="Times New Roman" w:hint="eastAsia"/>
          <w:sz w:val="24"/>
        </w:rPr>
        <w:t>】第</w:t>
      </w:r>
      <w:r w:rsidR="00B46EC4" w:rsidRPr="00B46EC4">
        <w:rPr>
          <w:rFonts w:ascii="Times New Roman" w:hAnsi="Times New Roman" w:cs="Times New Roman" w:hint="eastAsia"/>
          <w:sz w:val="24"/>
        </w:rPr>
        <w:t>3185</w:t>
      </w:r>
      <w:r w:rsidR="00B46EC4" w:rsidRPr="00B46EC4">
        <w:rPr>
          <w:rFonts w:ascii="Times New Roman" w:hAnsi="Times New Roman" w:cs="Times New Roman" w:hint="eastAsia"/>
          <w:sz w:val="24"/>
        </w:rPr>
        <w:t>号、瑞华审字【</w:t>
      </w:r>
      <w:r w:rsidR="00B46EC4" w:rsidRPr="00B46EC4">
        <w:rPr>
          <w:rFonts w:ascii="Times New Roman" w:hAnsi="Times New Roman" w:cs="Times New Roman" w:hint="eastAsia"/>
          <w:sz w:val="24"/>
        </w:rPr>
        <w:t>2014</w:t>
      </w:r>
      <w:r w:rsidR="00B46EC4" w:rsidRPr="00B46EC4">
        <w:rPr>
          <w:rFonts w:ascii="Times New Roman" w:hAnsi="Times New Roman" w:cs="Times New Roman" w:hint="eastAsia"/>
          <w:sz w:val="24"/>
        </w:rPr>
        <w:t>】第</w:t>
      </w:r>
      <w:r w:rsidR="00B46EC4" w:rsidRPr="00B46EC4">
        <w:rPr>
          <w:rFonts w:ascii="Times New Roman" w:hAnsi="Times New Roman" w:cs="Times New Roman" w:hint="eastAsia"/>
          <w:sz w:val="24"/>
        </w:rPr>
        <w:t>01340008</w:t>
      </w:r>
      <w:r w:rsidR="00B46EC4" w:rsidRPr="00B46EC4">
        <w:rPr>
          <w:rFonts w:ascii="Times New Roman" w:hAnsi="Times New Roman" w:cs="Times New Roman" w:hint="eastAsia"/>
          <w:sz w:val="24"/>
        </w:rPr>
        <w:t>号、瑞华审字【</w:t>
      </w:r>
      <w:r w:rsidR="00B46EC4" w:rsidRPr="00B46EC4">
        <w:rPr>
          <w:rFonts w:ascii="Times New Roman" w:hAnsi="Times New Roman" w:cs="Times New Roman" w:hint="eastAsia"/>
          <w:sz w:val="24"/>
        </w:rPr>
        <w:t>2015</w:t>
      </w:r>
      <w:r w:rsidR="00B46EC4" w:rsidRPr="00B46EC4">
        <w:rPr>
          <w:rFonts w:ascii="Times New Roman" w:hAnsi="Times New Roman" w:cs="Times New Roman" w:hint="eastAsia"/>
          <w:sz w:val="24"/>
        </w:rPr>
        <w:t>】</w:t>
      </w:r>
      <w:r w:rsidR="00B46EC4" w:rsidRPr="00B46EC4">
        <w:rPr>
          <w:rFonts w:ascii="Times New Roman" w:hAnsi="Times New Roman" w:cs="Times New Roman" w:hint="eastAsia"/>
          <w:sz w:val="24"/>
        </w:rPr>
        <w:t>01370008</w:t>
      </w:r>
      <w:r w:rsidR="00B46EC4">
        <w:rPr>
          <w:rFonts w:ascii="Times New Roman" w:hAnsi="Times New Roman" w:cs="Times New Roman" w:hint="eastAsia"/>
          <w:sz w:val="24"/>
        </w:rPr>
        <w:t>号</w:t>
      </w:r>
      <w:r>
        <w:rPr>
          <w:rFonts w:ascii="Times New Roman" w:hAnsi="Times New Roman" w:cs="Times New Roman" w:hint="eastAsia"/>
          <w:sz w:val="24"/>
        </w:rPr>
        <w:t>标准无保留意见的审计报告和</w:t>
      </w:r>
      <w:r>
        <w:rPr>
          <w:rFonts w:ascii="Times New Roman" w:hAnsi="Times New Roman" w:cs="Times New Roman" w:hint="eastAsia"/>
          <w:sz w:val="24"/>
        </w:rPr>
        <w:t>2015</w:t>
      </w:r>
      <w:r>
        <w:rPr>
          <w:rFonts w:ascii="Times New Roman" w:hAnsi="Times New Roman" w:cs="Times New Roman" w:hint="eastAsia"/>
          <w:sz w:val="24"/>
        </w:rPr>
        <w:t>年一季度未经审计的财务报表。</w:t>
      </w:r>
    </w:p>
    <w:p w:rsidR="0093601C" w:rsidRPr="0093601C" w:rsidRDefault="0093601C" w:rsidP="007537E9">
      <w:pPr>
        <w:autoSpaceDE w:val="0"/>
        <w:autoSpaceDN w:val="0"/>
        <w:adjustRightInd w:val="0"/>
        <w:snapToGrid w:val="0"/>
        <w:jc w:val="center"/>
        <w:rPr>
          <w:rFonts w:hAnsi="Times New Roman"/>
          <w:b/>
          <w:sz w:val="24"/>
          <w:szCs w:val="24"/>
        </w:rPr>
      </w:pPr>
      <w:r w:rsidRPr="0093601C">
        <w:rPr>
          <w:rFonts w:hint="eastAsia"/>
          <w:b/>
          <w:sz w:val="24"/>
          <w:szCs w:val="24"/>
        </w:rPr>
        <w:t>表</w:t>
      </w:r>
      <w:r w:rsidRPr="0093601C">
        <w:rPr>
          <w:rFonts w:ascii="Times New Roman" w:hAnsi="Times New Roman" w:cs="Times New Roman"/>
          <w:b/>
          <w:bCs/>
          <w:sz w:val="24"/>
          <w:szCs w:val="24"/>
        </w:rPr>
        <w:t>1</w:t>
      </w:r>
      <w:r w:rsidRPr="0093601C">
        <w:rPr>
          <w:rFonts w:hAnsi="Times New Roman" w:hint="eastAsia"/>
          <w:b/>
          <w:sz w:val="24"/>
          <w:szCs w:val="24"/>
        </w:rPr>
        <w:t>：公司最近三年及一期合并资产负债表</w:t>
      </w:r>
    </w:p>
    <w:p w:rsidR="0093601C" w:rsidRPr="007537E9" w:rsidRDefault="0093601C" w:rsidP="007537E9">
      <w:pPr>
        <w:autoSpaceDE w:val="0"/>
        <w:autoSpaceDN w:val="0"/>
        <w:adjustRightInd w:val="0"/>
        <w:snapToGrid w:val="0"/>
        <w:jc w:val="right"/>
        <w:rPr>
          <w:rFonts w:ascii="Times New Roman" w:hAnsi="Times New Roman" w:cs="Times New Roman"/>
          <w:b/>
          <w:szCs w:val="21"/>
        </w:rPr>
      </w:pPr>
      <w:r w:rsidRPr="007537E9">
        <w:rPr>
          <w:rFonts w:hAnsi="Times New Roman" w:hint="eastAsia"/>
          <w:b/>
          <w:szCs w:val="21"/>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391"/>
        <w:gridCol w:w="1391"/>
        <w:gridCol w:w="1391"/>
        <w:gridCol w:w="1392"/>
      </w:tblGrid>
      <w:tr w:rsidR="002B2017" w:rsidRPr="002B2017" w:rsidTr="002B2017">
        <w:trPr>
          <w:trHeight w:val="397"/>
          <w:tblHeader/>
          <w:jc w:val="center"/>
        </w:trPr>
        <w:tc>
          <w:tcPr>
            <w:tcW w:w="1595"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项目</w:t>
            </w:r>
          </w:p>
        </w:tc>
        <w:tc>
          <w:tcPr>
            <w:tcW w:w="851"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2015.3.31</w:t>
            </w:r>
          </w:p>
        </w:tc>
        <w:tc>
          <w:tcPr>
            <w:tcW w:w="851"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2014.12.31</w:t>
            </w:r>
          </w:p>
        </w:tc>
        <w:tc>
          <w:tcPr>
            <w:tcW w:w="851"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2013.12.31</w:t>
            </w:r>
          </w:p>
        </w:tc>
        <w:tc>
          <w:tcPr>
            <w:tcW w:w="851"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2012.12.31</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货币资金</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487,265.28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806,191.96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977,405.44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1,138,051.86</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应收账款</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89,813.78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167,996.30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38,820.99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24,128.68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lastRenderedPageBreak/>
              <w:t>预付款项</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462,702.88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593,265.66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535,015.51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270,681.87</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其他应收款</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131,572.54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65,314.00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37,701.58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10,409.90</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存货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5,471,027.32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5,065,108.79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4,278,982.19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3,767,862.93</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其他流动资产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153,605.95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144,059.49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161,365.81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210,725.70</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流动资产合计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6,795,987.75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6,841,936.20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6,029,291.52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5,421,860.94</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可供出售金融资产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15,808.65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15,361.09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13,261.12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12,993.34</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长期股权投资</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6,691.67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3,694.11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3,652.70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20,197.68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投资性房地产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1,616,516.16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1,411,962.65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1,146,877.63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1,158,131.62</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固定资产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284,962.24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287,156.69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260,380.67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263,730.43</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在建工程</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1,719.20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297.5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8,589.19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无形资产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80,414.64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80,887.32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81,711.14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81,013.98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长期待摊费用</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288.5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233.45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递延所得税资产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98,000.36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95,381.68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40,549.08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21,447.38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其他非流动资产</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21,605.43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21,833.27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22,744.59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23,655.92</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非流动资产合计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2,126,006.85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1,916,807.76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1,577,766.12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1,581,171.83</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资产总计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8,921,994.60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8,758,743.96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7,607,057.64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7,003,032.77</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流动负债：</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短期借款</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58,000.00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53,000.00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126,000.00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724,000.00</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应付账款</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340,598.11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403,273.47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427,034.98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292,836.48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预收款项</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900,643.89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881,245.04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1,193,493.83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1,446,530.98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应付职工薪酬</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17,060.22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20,571.02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17,847.67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17,342.89</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应交税费</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176,155.26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278,362.13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251,415.62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159,225.12</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其他应付款</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451,065.51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485,137.79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103,083.27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94,512.50</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一年内到期的非流动负债</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849,155.95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1,200,331.51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608,979.84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336,769.47</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流动负债合计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2,792,678.94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3,321,920.96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2,727,855.21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3,071,217.44</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非流动负债：</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长期借款</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2,738,184.47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2,582,497.25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2,285,377.15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1,343,666.46</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应付债券</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280,591.34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341,650.16</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递延所得税负债</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203,734.87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174,039.32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148,260.00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141,942.52</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非流动负债合计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3,222,510.68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2,756,536.57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2,433,637.15</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1,827,259.14</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负债合计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6,015,189.62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6,078,457.53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5,161,492.36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4,898,476.58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所有者权益（或股东权益）：</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lastRenderedPageBreak/>
              <w:t>股本</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298,892.99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298,892.99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302,707.98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302,707.98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资本公积金</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710,335.97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710,335.97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731,503.58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726,701.49</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其它综合收益</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6,400.71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6,065.04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4,595.07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4,394.23</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盈余公积金</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109,385.09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109,385.09</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84,022.93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70,598.05</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未分配利润</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1,376,788.50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1,297,030.58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1,105,324.21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875,003.56</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归属于母公司所有者权益合计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2,501,803.26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2,421,709.67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2,228,153.77</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1,979,405.31</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少数股东权益</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405,001.72</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258,576.76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217,411.51</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125,150.88</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所有者权益合计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2,906,804.98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2,680,286.43</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2,445,565.28</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2,104,556.19</w:t>
            </w:r>
          </w:p>
        </w:tc>
      </w:tr>
      <w:tr w:rsidR="002B2017" w:rsidRPr="002B2017" w:rsidTr="002B2017">
        <w:trPr>
          <w:trHeight w:val="397"/>
          <w:jc w:val="center"/>
        </w:trPr>
        <w:tc>
          <w:tcPr>
            <w:tcW w:w="1595"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负债和所有者权益总计</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8,921,994.60</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8,758,743.96</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7,607,057.64</w:t>
            </w:r>
          </w:p>
        </w:tc>
        <w:tc>
          <w:tcPr>
            <w:tcW w:w="851"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7,003,032.77</w:t>
            </w:r>
          </w:p>
        </w:tc>
      </w:tr>
    </w:tbl>
    <w:p w:rsidR="007537E9" w:rsidRDefault="007537E9" w:rsidP="007537E9">
      <w:pPr>
        <w:autoSpaceDE w:val="0"/>
        <w:autoSpaceDN w:val="0"/>
        <w:adjustRightInd w:val="0"/>
        <w:jc w:val="center"/>
        <w:rPr>
          <w:b/>
          <w:sz w:val="24"/>
          <w:szCs w:val="24"/>
        </w:rPr>
      </w:pPr>
    </w:p>
    <w:p w:rsidR="0093601C" w:rsidRPr="00F60FC9" w:rsidRDefault="0093601C" w:rsidP="007537E9">
      <w:pPr>
        <w:autoSpaceDE w:val="0"/>
        <w:autoSpaceDN w:val="0"/>
        <w:adjustRightInd w:val="0"/>
        <w:jc w:val="center"/>
        <w:rPr>
          <w:rFonts w:hAnsi="Times New Roman"/>
          <w:b/>
          <w:sz w:val="24"/>
          <w:szCs w:val="24"/>
        </w:rPr>
      </w:pPr>
      <w:r w:rsidRPr="00F60FC9">
        <w:rPr>
          <w:rFonts w:hint="eastAsia"/>
          <w:b/>
          <w:sz w:val="24"/>
          <w:szCs w:val="24"/>
        </w:rPr>
        <w:t>表</w:t>
      </w:r>
      <w:r w:rsidRPr="00F60FC9">
        <w:rPr>
          <w:rFonts w:ascii="Times New Roman" w:hAnsi="Times New Roman" w:cs="Times New Roman"/>
          <w:b/>
          <w:bCs/>
          <w:sz w:val="24"/>
          <w:szCs w:val="24"/>
        </w:rPr>
        <w:t>2</w:t>
      </w:r>
      <w:r w:rsidRPr="00F60FC9">
        <w:rPr>
          <w:rFonts w:hAnsi="Times New Roman" w:hint="eastAsia"/>
          <w:b/>
          <w:sz w:val="24"/>
          <w:szCs w:val="24"/>
        </w:rPr>
        <w:t>：公司最近三年及一期合并利润表</w:t>
      </w:r>
    </w:p>
    <w:p w:rsidR="007622C5" w:rsidRPr="007537E9" w:rsidRDefault="0093601C" w:rsidP="007537E9">
      <w:pPr>
        <w:autoSpaceDE w:val="0"/>
        <w:autoSpaceDN w:val="0"/>
        <w:adjustRightInd w:val="0"/>
        <w:jc w:val="right"/>
        <w:rPr>
          <w:rFonts w:ascii="Times New Roman" w:eastAsia="宋体" w:hAnsi="Times New Roman" w:cs="Times New Roman"/>
          <w:b/>
          <w:szCs w:val="21"/>
        </w:rPr>
      </w:pPr>
      <w:r w:rsidRPr="007537E9">
        <w:rPr>
          <w:rFonts w:hAnsi="Times New Roman" w:hint="eastAsia"/>
          <w:b/>
          <w:szCs w:val="21"/>
        </w:rPr>
        <w:t>单位：万元</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423"/>
        <w:gridCol w:w="1423"/>
        <w:gridCol w:w="1419"/>
        <w:gridCol w:w="1405"/>
      </w:tblGrid>
      <w:tr w:rsidR="002B2017" w:rsidRPr="002B2017" w:rsidTr="002B2017">
        <w:trPr>
          <w:trHeight w:val="397"/>
          <w:tblHeader/>
          <w:jc w:val="center"/>
        </w:trPr>
        <w:tc>
          <w:tcPr>
            <w:tcW w:w="1732"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项目</w:t>
            </w:r>
          </w:p>
        </w:tc>
        <w:tc>
          <w:tcPr>
            <w:tcW w:w="820"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2015</w:t>
            </w:r>
            <w:r w:rsidRPr="002B2017">
              <w:rPr>
                <w:rFonts w:ascii="Times New Roman" w:hAnsiTheme="minorEastAsia" w:cs="Times New Roman"/>
                <w:b/>
                <w:bCs/>
                <w:color w:val="000000"/>
                <w:kern w:val="0"/>
                <w:szCs w:val="21"/>
              </w:rPr>
              <w:t>年</w:t>
            </w:r>
            <w:r w:rsidRPr="002B2017">
              <w:rPr>
                <w:rFonts w:ascii="Times New Roman" w:hAnsi="Times New Roman" w:cs="Times New Roman"/>
                <w:b/>
                <w:bCs/>
                <w:color w:val="000000"/>
                <w:kern w:val="0"/>
                <w:szCs w:val="21"/>
              </w:rPr>
              <w:t>1-3</w:t>
            </w:r>
            <w:r w:rsidRPr="002B2017">
              <w:rPr>
                <w:rFonts w:ascii="Times New Roman" w:hAnsiTheme="minorEastAsia" w:cs="Times New Roman"/>
                <w:b/>
                <w:bCs/>
                <w:color w:val="000000"/>
                <w:kern w:val="0"/>
                <w:szCs w:val="21"/>
              </w:rPr>
              <w:t>月</w:t>
            </w:r>
          </w:p>
        </w:tc>
        <w:tc>
          <w:tcPr>
            <w:tcW w:w="820"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2014</w:t>
            </w:r>
            <w:r w:rsidRPr="002B2017">
              <w:rPr>
                <w:rFonts w:ascii="Times New Roman" w:hAnsiTheme="minorEastAsia" w:cs="Times New Roman"/>
                <w:b/>
                <w:bCs/>
                <w:color w:val="000000"/>
                <w:kern w:val="0"/>
                <w:szCs w:val="21"/>
              </w:rPr>
              <w:t>年度</w:t>
            </w:r>
          </w:p>
        </w:tc>
        <w:tc>
          <w:tcPr>
            <w:tcW w:w="818"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2013</w:t>
            </w:r>
            <w:r w:rsidRPr="002B2017">
              <w:rPr>
                <w:rFonts w:ascii="Times New Roman" w:hAnsiTheme="minorEastAsia" w:cs="Times New Roman"/>
                <w:b/>
                <w:bCs/>
                <w:color w:val="000000"/>
                <w:kern w:val="0"/>
                <w:szCs w:val="21"/>
              </w:rPr>
              <w:t>年度</w:t>
            </w:r>
          </w:p>
        </w:tc>
        <w:tc>
          <w:tcPr>
            <w:tcW w:w="810" w:type="pct"/>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2012</w:t>
            </w:r>
            <w:r w:rsidRPr="002B2017">
              <w:rPr>
                <w:rFonts w:ascii="Times New Roman" w:hAnsiTheme="minorEastAsia" w:cs="Times New Roman"/>
                <w:b/>
                <w:bCs/>
                <w:color w:val="000000"/>
                <w:kern w:val="0"/>
                <w:szCs w:val="21"/>
              </w:rPr>
              <w:t>年度</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营业总收入</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127,604.63</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2,203,588.57</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1,988,257.20</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1,723,386.81</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营业收入</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127,604.63</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2,203,588.57</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1,988,257.20</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1,723,386.81</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营业总成本</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137,935.00</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1,897,267.28</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1,552,446.70</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1,489,015.47</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营业成本</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85,756.84</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1,528,742.54</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1,242,141.07</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1,181,112.83</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营业税金及附加</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9,158.98</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182,193.29</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222,574.65</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163,538.66</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销售费用</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6,739.10</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37,517.33</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38,435.57</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48,462.95</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管理费用</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10,886.70</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62,312.64</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49,352.07</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55,871.62</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财务费用</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23,183.25</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64,699.62</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21,508.73</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37,953.10</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资产减值损失</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2,210.13</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21,801.86</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-21,565.39</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2,076.31</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公允价值变动收益</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117,479.16</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102,967.44</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22,868.44</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122,490.86</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投资收益</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470.97</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2,335.58</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9,996.27</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359.91</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其中：对联营企业和合营企业的投资收益</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-2.43</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41.41</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-0.67</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25.84</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营业利润</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107,619.76</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411,624.31</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468,675.21</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357,222.11</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营业外收入</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775.98</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11,914.98</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9,181.25</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11,894.57</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营业外支出</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56.21</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1,626.55</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6,448.35</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2,767.84</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其中：非流动资产处置净损失</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7.48</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38.38</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16.74</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25.15</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利润总额</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108,339.53</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421,912.74</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471,408.11</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366,348.84</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所得税</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28,356.15</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110,658.96</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119,404.62</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96,694.55</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净利润</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79,983.38</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311,253.78</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352,003.49</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269,654.29</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少数股东损益</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225.46</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18,508.26</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62,851.76</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42,734.50</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lastRenderedPageBreak/>
              <w:t>归属于母公司所有者的净利润</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79,757.92</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292,745.52</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289,151.73</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226,919.78</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其他综合收益</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335.67</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1,469.98</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200.83</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34.89</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综合收益总额</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80,319.05</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312,723.76</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352,204.32</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269,689.17</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归属于少数股东的综合收益总额</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225.46</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18,508.26</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62,851.76</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42,734.50</w:t>
            </w:r>
          </w:p>
        </w:tc>
      </w:tr>
      <w:tr w:rsidR="002B2017" w:rsidRPr="002B2017" w:rsidTr="002B2017">
        <w:trPr>
          <w:trHeight w:val="397"/>
          <w:jc w:val="center"/>
        </w:trPr>
        <w:tc>
          <w:tcPr>
            <w:tcW w:w="1732" w:type="pct"/>
            <w:shd w:val="clear" w:color="auto" w:fill="auto"/>
            <w:noWrap/>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归属于母公司普通股东综合收益总额</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80,093.59</w:t>
            </w:r>
          </w:p>
        </w:tc>
        <w:tc>
          <w:tcPr>
            <w:tcW w:w="82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294,215.50</w:t>
            </w:r>
          </w:p>
        </w:tc>
        <w:tc>
          <w:tcPr>
            <w:tcW w:w="818"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289,352.56</w:t>
            </w:r>
          </w:p>
        </w:tc>
        <w:tc>
          <w:tcPr>
            <w:tcW w:w="810" w:type="pct"/>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226,954.67</w:t>
            </w:r>
          </w:p>
        </w:tc>
      </w:tr>
    </w:tbl>
    <w:p w:rsidR="003A26C0" w:rsidRDefault="003A26C0" w:rsidP="00F008FC">
      <w:pPr>
        <w:autoSpaceDE w:val="0"/>
        <w:autoSpaceDN w:val="0"/>
        <w:adjustRightInd w:val="0"/>
        <w:spacing w:line="360" w:lineRule="auto"/>
        <w:jc w:val="center"/>
        <w:rPr>
          <w:rFonts w:ascii="Times New Roman" w:hAnsi="Times New Roman" w:cs="Times New Roman"/>
          <w:b/>
          <w:sz w:val="24"/>
          <w:szCs w:val="24"/>
        </w:rPr>
      </w:pPr>
    </w:p>
    <w:p w:rsidR="00F008FC" w:rsidRPr="00F008FC" w:rsidRDefault="00F008FC" w:rsidP="007537E9">
      <w:pPr>
        <w:autoSpaceDE w:val="0"/>
        <w:autoSpaceDN w:val="0"/>
        <w:adjustRightInd w:val="0"/>
        <w:jc w:val="center"/>
        <w:rPr>
          <w:rFonts w:ascii="Times New Roman" w:hAnsi="Times New Roman" w:cs="Times New Roman"/>
          <w:b/>
          <w:sz w:val="24"/>
          <w:szCs w:val="24"/>
        </w:rPr>
      </w:pPr>
      <w:r w:rsidRPr="00F008FC">
        <w:rPr>
          <w:rFonts w:ascii="Times New Roman" w:hAnsi="Times New Roman" w:cs="Times New Roman"/>
          <w:b/>
          <w:sz w:val="24"/>
          <w:szCs w:val="24"/>
        </w:rPr>
        <w:t>表</w:t>
      </w:r>
      <w:r w:rsidRPr="00F008FC">
        <w:rPr>
          <w:rFonts w:ascii="Times New Roman" w:hAnsi="Times New Roman" w:cs="Times New Roman"/>
          <w:b/>
          <w:bCs/>
          <w:sz w:val="24"/>
          <w:szCs w:val="24"/>
        </w:rPr>
        <w:t>3</w:t>
      </w:r>
      <w:r w:rsidRPr="00F008FC">
        <w:rPr>
          <w:rFonts w:ascii="Times New Roman" w:hAnsi="Times New Roman" w:cs="Times New Roman"/>
          <w:b/>
          <w:sz w:val="24"/>
          <w:szCs w:val="24"/>
        </w:rPr>
        <w:t>：公司最近三年及一期合并现金流量表</w:t>
      </w:r>
    </w:p>
    <w:p w:rsidR="007622C5" w:rsidRPr="007537E9" w:rsidRDefault="00F008FC" w:rsidP="007537E9">
      <w:pPr>
        <w:autoSpaceDE w:val="0"/>
        <w:autoSpaceDN w:val="0"/>
        <w:adjustRightInd w:val="0"/>
        <w:jc w:val="right"/>
        <w:rPr>
          <w:rFonts w:ascii="Times New Roman" w:hAnsi="Times New Roman" w:cs="Times New Roman"/>
          <w:b/>
          <w:szCs w:val="21"/>
        </w:rPr>
      </w:pPr>
      <w:r w:rsidRPr="007537E9">
        <w:rPr>
          <w:rFonts w:ascii="Times New Roman" w:hAnsi="Times New Roman" w:cs="Times New Roman"/>
          <w:b/>
          <w:szCs w:val="21"/>
        </w:rPr>
        <w:t>单位：</w:t>
      </w:r>
      <w:r w:rsidRPr="007537E9">
        <w:rPr>
          <w:rFonts w:ascii="Times New Roman" w:hAnsi="Times New Roman" w:cs="Times New Roman" w:hint="eastAsia"/>
          <w:b/>
          <w:szCs w:val="21"/>
        </w:rPr>
        <w:t>万</w:t>
      </w:r>
      <w:r w:rsidRPr="007537E9">
        <w:rPr>
          <w:rFonts w:ascii="Times New Roman" w:hAnsi="Times New Roman" w:cs="Times New Roman"/>
          <w:b/>
          <w:szCs w:val="21"/>
        </w:rPr>
        <w:t>元</w:t>
      </w:r>
    </w:p>
    <w:tbl>
      <w:tblPr>
        <w:tblW w:w="8729"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1417"/>
        <w:gridCol w:w="1417"/>
        <w:gridCol w:w="1417"/>
        <w:gridCol w:w="1417"/>
      </w:tblGrid>
      <w:tr w:rsidR="002B2017" w:rsidRPr="002B2017" w:rsidTr="002B2017">
        <w:trPr>
          <w:trHeight w:val="397"/>
          <w:tblHeader/>
          <w:jc w:val="center"/>
        </w:trPr>
        <w:tc>
          <w:tcPr>
            <w:tcW w:w="3061"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项目</w:t>
            </w:r>
          </w:p>
        </w:tc>
        <w:tc>
          <w:tcPr>
            <w:tcW w:w="1417" w:type="dxa"/>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2015</w:t>
            </w:r>
            <w:r w:rsidRPr="002B2017">
              <w:rPr>
                <w:rFonts w:ascii="Times New Roman" w:hAnsiTheme="minorEastAsia" w:cs="Times New Roman"/>
                <w:b/>
                <w:bCs/>
                <w:color w:val="000000"/>
                <w:kern w:val="0"/>
                <w:szCs w:val="21"/>
              </w:rPr>
              <w:t>年</w:t>
            </w:r>
            <w:r w:rsidRPr="002B2017">
              <w:rPr>
                <w:rFonts w:ascii="Times New Roman" w:hAnsi="Times New Roman" w:cs="Times New Roman"/>
                <w:b/>
                <w:bCs/>
                <w:color w:val="000000"/>
                <w:kern w:val="0"/>
                <w:szCs w:val="21"/>
              </w:rPr>
              <w:t>1-3</w:t>
            </w:r>
            <w:r w:rsidRPr="002B2017">
              <w:rPr>
                <w:rFonts w:ascii="Times New Roman" w:hAnsiTheme="minorEastAsia" w:cs="Times New Roman"/>
                <w:b/>
                <w:bCs/>
                <w:color w:val="000000"/>
                <w:kern w:val="0"/>
                <w:szCs w:val="21"/>
              </w:rPr>
              <w:t>月</w:t>
            </w:r>
          </w:p>
        </w:tc>
        <w:tc>
          <w:tcPr>
            <w:tcW w:w="1417" w:type="dxa"/>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2014</w:t>
            </w:r>
            <w:r w:rsidRPr="002B2017">
              <w:rPr>
                <w:rFonts w:ascii="Times New Roman" w:hAnsiTheme="minorEastAsia" w:cs="Times New Roman"/>
                <w:b/>
                <w:bCs/>
                <w:color w:val="000000"/>
                <w:kern w:val="0"/>
                <w:szCs w:val="21"/>
              </w:rPr>
              <w:t>年度</w:t>
            </w:r>
          </w:p>
        </w:tc>
        <w:tc>
          <w:tcPr>
            <w:tcW w:w="1417" w:type="dxa"/>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2013</w:t>
            </w:r>
            <w:r w:rsidRPr="002B2017">
              <w:rPr>
                <w:rFonts w:ascii="Times New Roman" w:hAnsiTheme="minorEastAsia" w:cs="Times New Roman"/>
                <w:b/>
                <w:bCs/>
                <w:color w:val="000000"/>
                <w:kern w:val="0"/>
                <w:szCs w:val="21"/>
              </w:rPr>
              <w:t>年度</w:t>
            </w:r>
          </w:p>
        </w:tc>
        <w:tc>
          <w:tcPr>
            <w:tcW w:w="1417" w:type="dxa"/>
            <w:shd w:val="clear" w:color="auto" w:fill="auto"/>
            <w:noWrap/>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2012</w:t>
            </w:r>
            <w:r w:rsidRPr="002B2017">
              <w:rPr>
                <w:rFonts w:ascii="Times New Roman" w:hAnsiTheme="minorEastAsia" w:cs="Times New Roman"/>
                <w:b/>
                <w:bCs/>
                <w:color w:val="000000"/>
                <w:kern w:val="0"/>
                <w:szCs w:val="21"/>
              </w:rPr>
              <w:t>年度</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经营活动产生的现金流量：</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销售商品、提供劳务收到的现金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222,613.28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1,794,927.56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1,719,956.97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1,788,486.08</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收到的税费返还</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522.47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3,566.38</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收到其他与经营活动有关的现金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15,138.29</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113,878.17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39,379.31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40,534.31</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经营活动现金流入小计</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237,751.57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1,908,805.73</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1,759,858.75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1,832,586.77</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购买商品、接受劳务支付的现金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432,864.05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1,467,602.87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1,609,664.24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1,672,607.32</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支付给职工以及为职工支付的现金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20,468.26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66,044.73</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59,122.62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54,611.60</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支付的各项税费</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123,516.35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297,796.38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278,717.33</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199,699.84</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支付其他与经营活动有关的现金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85,692.15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109,479.72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102,949.82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98,258.39</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经营活动现金流出小计</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662,540.81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1,940,923.70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2,050,454.01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2,025,177.15</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经营活动产生的现金流量净额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-424,789.24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-32,117.97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-290,595.26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-192,590.38</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投资活动产生的现金流量：</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收回投资收到的现金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100,000.00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400,000.00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65,677.26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取得投资收益收到的现金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473.4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2,294.17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9,996.93</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334.07</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处置固定资产、无形资产和其他长期资产收回的现金净额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56.54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12,952.52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14,835.46</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处置子公司及其他营业单位收到的现金净额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投资活动现金流入小计</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100,477.77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402,350.71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88,626.71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15,169.53</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购建固定资产、无形资产和其他长期资产支付的现金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7,644.61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19,720.87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5,684.43</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2,343.67</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投资支付的现金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101,800.00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548,000.00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取得子公司及其他营业单位支</w:t>
            </w:r>
            <w:r w:rsidRPr="002B2017">
              <w:rPr>
                <w:rFonts w:ascii="Times New Roman" w:hAnsiTheme="minorEastAsia" w:cs="Times New Roman"/>
                <w:color w:val="000000"/>
                <w:kern w:val="0"/>
                <w:szCs w:val="21"/>
              </w:rPr>
              <w:lastRenderedPageBreak/>
              <w:t>付的现金净额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lastRenderedPageBreak/>
              <w:t>65,235.94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417,747.64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2,978.85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lastRenderedPageBreak/>
              <w:t>投资活动现金流出小计</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174,680.55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985,468.51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8,663.28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2,343.67</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投资活动产生的现金流量净额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-74,202.78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-583,117.80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79,963.43</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12,825.86</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筹资活动产生的现金流量：</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吸收投资收到的现金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149,500.00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40,490.00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58,800.00</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其中：子公司吸收少数股东投资收到的现金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149,500.00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40,490.00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58,800.00</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取得借款收到的现金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294,783.84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1,944,185.00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1,876,327.75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1,904,934.32</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发行债券收到的现金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278,300.00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筹资活动现金流入小计</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722,583.84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1,946,685.00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1,916,817.75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1,963,734.32</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偿还债务支付的现金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487,052.17</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1,122,629.52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1,605,289.01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1,303,770.28</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分配股利、利润或偿付利息支付的现金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55,467.02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354,809.70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261,546.54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231,888.09</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其中：子公司支付给少数股东的股利、利润</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3,300.50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16,667.49</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12,806.25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9,504.50</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支付其他与筹资活动有关的现金</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25,217.49</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33,697.00</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筹资活动现金流出小计</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542,519.19</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1,502,656.71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1,866,835.55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1,569,355.37</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筹资活动产生的现金流量净额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180,064.65</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444,028.29</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49,982.20</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394,378.95</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汇率变动对现金的影响</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0.69</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3.21</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-0.67</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现金及现金等价物净增加额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-318,926.68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-171,213.48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-160,646.42</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214,613.76</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期初现金及现金等价物余额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806,191.96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977,405.44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1,138,051.86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923,438.10</w:t>
            </w:r>
          </w:p>
        </w:tc>
      </w:tr>
      <w:tr w:rsidR="002B2017" w:rsidRPr="002B2017" w:rsidTr="002B2017">
        <w:trPr>
          <w:trHeight w:val="397"/>
          <w:jc w:val="center"/>
        </w:trPr>
        <w:tc>
          <w:tcPr>
            <w:tcW w:w="3061"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期末现金及现金等价物余额</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487,265.28</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806,191.96</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977,405.44</w:t>
            </w:r>
          </w:p>
        </w:tc>
        <w:tc>
          <w:tcPr>
            <w:tcW w:w="1417" w:type="dxa"/>
            <w:shd w:val="clear" w:color="auto" w:fill="auto"/>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1,138,051.86</w:t>
            </w:r>
          </w:p>
        </w:tc>
      </w:tr>
    </w:tbl>
    <w:p w:rsidR="007537E9" w:rsidRDefault="007537E9" w:rsidP="00F008FC">
      <w:pPr>
        <w:autoSpaceDE w:val="0"/>
        <w:autoSpaceDN w:val="0"/>
        <w:adjustRightInd w:val="0"/>
        <w:spacing w:line="360" w:lineRule="auto"/>
        <w:jc w:val="center"/>
        <w:rPr>
          <w:rFonts w:ascii="Times New Roman" w:hAnsi="Times New Roman" w:cs="Times New Roman"/>
          <w:b/>
          <w:sz w:val="24"/>
          <w:szCs w:val="24"/>
        </w:rPr>
      </w:pPr>
    </w:p>
    <w:p w:rsidR="00F008FC" w:rsidRPr="007537E9" w:rsidRDefault="00F008FC" w:rsidP="007537E9">
      <w:pPr>
        <w:autoSpaceDE w:val="0"/>
        <w:autoSpaceDN w:val="0"/>
        <w:adjustRightInd w:val="0"/>
        <w:jc w:val="center"/>
        <w:rPr>
          <w:rFonts w:ascii="Times New Roman" w:hAnsi="Times New Roman" w:cs="Times New Roman"/>
          <w:b/>
          <w:sz w:val="24"/>
          <w:szCs w:val="24"/>
        </w:rPr>
      </w:pPr>
      <w:r w:rsidRPr="007537E9">
        <w:rPr>
          <w:rFonts w:ascii="Times New Roman" w:hAnsi="Times New Roman" w:cs="Times New Roman"/>
          <w:b/>
          <w:sz w:val="24"/>
          <w:szCs w:val="24"/>
        </w:rPr>
        <w:t>表</w:t>
      </w:r>
      <w:r w:rsidRPr="007537E9">
        <w:rPr>
          <w:rFonts w:ascii="Times New Roman" w:hAnsi="Times New Roman" w:cs="Times New Roman"/>
          <w:b/>
          <w:bCs/>
          <w:sz w:val="24"/>
          <w:szCs w:val="24"/>
        </w:rPr>
        <w:t>4</w:t>
      </w:r>
      <w:r w:rsidRPr="007537E9">
        <w:rPr>
          <w:rFonts w:ascii="Times New Roman" w:hAnsi="Times New Roman" w:cs="Times New Roman"/>
          <w:b/>
          <w:sz w:val="24"/>
          <w:szCs w:val="24"/>
        </w:rPr>
        <w:t>：公司最近三年及一期母公司资产负债表</w:t>
      </w:r>
    </w:p>
    <w:p w:rsidR="000D66A6" w:rsidRPr="007537E9" w:rsidRDefault="00F008FC" w:rsidP="007537E9">
      <w:pPr>
        <w:autoSpaceDE w:val="0"/>
        <w:autoSpaceDN w:val="0"/>
        <w:adjustRightInd w:val="0"/>
        <w:jc w:val="right"/>
        <w:rPr>
          <w:rFonts w:hAnsi="Times New Roman"/>
          <w:b/>
          <w:szCs w:val="21"/>
        </w:rPr>
      </w:pPr>
      <w:r w:rsidRPr="007537E9">
        <w:rPr>
          <w:rFonts w:hAnsi="Times New Roman" w:hint="eastAsia"/>
          <w:b/>
          <w:szCs w:val="21"/>
        </w:rPr>
        <w:t>单位：</w:t>
      </w:r>
      <w:r w:rsidR="009B6EE8" w:rsidRPr="007537E9">
        <w:rPr>
          <w:rFonts w:hAnsi="Times New Roman" w:hint="eastAsia"/>
          <w:b/>
          <w:szCs w:val="21"/>
        </w:rPr>
        <w:t>万</w:t>
      </w:r>
      <w:r w:rsidRPr="007537E9">
        <w:rPr>
          <w:rFonts w:hAnsi="Times New Roman" w:hint="eastAsia"/>
          <w:b/>
          <w:szCs w:val="21"/>
        </w:rPr>
        <w:t>元</w:t>
      </w:r>
    </w:p>
    <w:tbl>
      <w:tblPr>
        <w:tblW w:w="8789"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531"/>
        <w:gridCol w:w="1531"/>
        <w:gridCol w:w="1531"/>
        <w:gridCol w:w="1531"/>
      </w:tblGrid>
      <w:tr w:rsidR="002B2017" w:rsidRPr="002B2017" w:rsidTr="002B2017">
        <w:trPr>
          <w:trHeight w:val="397"/>
          <w:tblHeader/>
          <w:jc w:val="center"/>
        </w:trPr>
        <w:tc>
          <w:tcPr>
            <w:tcW w:w="2665"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项目</w:t>
            </w:r>
          </w:p>
        </w:tc>
        <w:tc>
          <w:tcPr>
            <w:tcW w:w="1531"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2015.3.31</w:t>
            </w:r>
          </w:p>
        </w:tc>
        <w:tc>
          <w:tcPr>
            <w:tcW w:w="1531"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2014.12.31</w:t>
            </w:r>
          </w:p>
        </w:tc>
        <w:tc>
          <w:tcPr>
            <w:tcW w:w="1531"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2013.12.31</w:t>
            </w:r>
          </w:p>
        </w:tc>
        <w:tc>
          <w:tcPr>
            <w:tcW w:w="1531"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2012.12.31</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 xml:space="preserve">　</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 xml:space="preserve">　</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 xml:space="preserve">　</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heme="minorEastAsia" w:cs="Times New Roman"/>
                <w:color w:val="000000"/>
                <w:kern w:val="0"/>
                <w:szCs w:val="21"/>
              </w:rPr>
              <w:t xml:space="preserve">　</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货币资金</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167,349.97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414,822.17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515,959.32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566,003.41</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应收账款</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72,751.16</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153,051.84</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16,328.01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680.77</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预付款项</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3,997.94</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152,069.07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4,765.62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3,424.53</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其他应收款</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2,880,834.15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2,618,277.37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1,867,124.02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1,284,349.36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存货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310,499.79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320,552.19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1,023,560.55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1,198,127.52</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其他流动资产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40,087.28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39,896.04</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92,357.59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135,761.86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流动资产合计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3,475,520.29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3,698,668.68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3,520,095.11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3,188,347.45</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lastRenderedPageBreak/>
              <w:t>非流动资产：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可供出售金融资产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15,668.65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15,221.09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13,261.12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12,993.34</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长期股权投资</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1,114,472.23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1,104,411.01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798,185.87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703,491.23</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投资性房地产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425,703.75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425,703.75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206,382.00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205,109.39</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固定资产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78,787.37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79,288.80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82,234.97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79,181.16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无形资产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37,060.26</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37,177.05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36,820.60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36,791.79</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递延所得税资产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54,850.93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54,370.52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26,238.37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4,110.18</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其他非流动资产</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21,605.43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21,833.27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22,744.59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23,655.92</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非流动资产合计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1,748,148.62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1,738,005.49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1,185,867.52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1,065,333.01</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资产总计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5,223,668.91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5,436,674.17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4,705,962.63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4,253,680.46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流动负债：</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短期借款</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50,000.00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50,000.00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50,000.00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574,000.00</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应付账款</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128,802.17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143,438.04</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86,035.59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43,925.49</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预收款项</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26,041.49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44,784.03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524,912.64</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683,126.90</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应付职工薪酬</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12,517.01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13,127.62</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11,447.49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12,328.49</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应交税费</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67,521.80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151,088.90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90,224.31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23,927.45</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其他应付款</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641,160.28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782,117.60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618,822.93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412,849.47</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一年内到期的非流动负债</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681,500.00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1,074,010.00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450,931.41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180,000.00</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流动负债合计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1,607,542.75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2,258,566.19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1,832,374.37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1,930,157.80</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非流动负债：</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长期借款</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1,685,536.08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1,517,941.08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1,382,183.95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580,643.07</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应付债券</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280,591.34</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341,650.16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递延所得税负债</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46,896.19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46,784.30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32,218.81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31,087.33</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非流动负债合计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2,013,023.61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1,564,725.38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1,414,402.76</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953,380.56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负债合计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3,620,566.36</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3,823,291.57</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3,246,777.13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2,883,538.36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所有者权益（或股东权益）：</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D01E98">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股本</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298,892.99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298,892.99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302,707.98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302,707.98</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资本公积金</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739,492.18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739,492.18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760,894.68</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760,894.68</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其它综合收益</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4,517.40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4,181.73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2,711.76</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2,510.92</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盈余公积金</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109,385.09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109,385.11</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84,022.93</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70,598.06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未分配利润</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450,814.89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461,430.59</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308,848.15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233,430.46</w:t>
            </w:r>
          </w:p>
        </w:tc>
      </w:tr>
      <w:tr w:rsidR="002B2017" w:rsidRPr="002B2017" w:rsidTr="002B2017">
        <w:trPr>
          <w:trHeight w:val="397"/>
          <w:jc w:val="center"/>
        </w:trPr>
        <w:tc>
          <w:tcPr>
            <w:tcW w:w="2665" w:type="dxa"/>
            <w:shd w:val="clear" w:color="auto" w:fill="auto"/>
            <w:noWrap/>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所有者权益合计</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1,603,102.55</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1,613,382.60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1,459,185.50</w:t>
            </w:r>
          </w:p>
        </w:tc>
        <w:tc>
          <w:tcPr>
            <w:tcW w:w="1531"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1,370,142.10</w:t>
            </w:r>
          </w:p>
        </w:tc>
      </w:tr>
    </w:tbl>
    <w:p w:rsidR="007537E9" w:rsidRDefault="007537E9" w:rsidP="00F008FC">
      <w:pPr>
        <w:autoSpaceDE w:val="0"/>
        <w:autoSpaceDN w:val="0"/>
        <w:adjustRightInd w:val="0"/>
        <w:spacing w:line="360" w:lineRule="auto"/>
        <w:jc w:val="center"/>
        <w:rPr>
          <w:b/>
          <w:sz w:val="24"/>
          <w:szCs w:val="24"/>
        </w:rPr>
      </w:pPr>
    </w:p>
    <w:p w:rsidR="002B2017" w:rsidRDefault="002B2017" w:rsidP="00F008FC">
      <w:pPr>
        <w:autoSpaceDE w:val="0"/>
        <w:autoSpaceDN w:val="0"/>
        <w:adjustRightInd w:val="0"/>
        <w:spacing w:line="360" w:lineRule="auto"/>
        <w:jc w:val="center"/>
        <w:rPr>
          <w:b/>
          <w:sz w:val="24"/>
          <w:szCs w:val="24"/>
        </w:rPr>
      </w:pPr>
    </w:p>
    <w:p w:rsidR="002B2017" w:rsidRDefault="002B2017" w:rsidP="00F008FC">
      <w:pPr>
        <w:autoSpaceDE w:val="0"/>
        <w:autoSpaceDN w:val="0"/>
        <w:adjustRightInd w:val="0"/>
        <w:spacing w:line="360" w:lineRule="auto"/>
        <w:jc w:val="center"/>
        <w:rPr>
          <w:b/>
          <w:sz w:val="24"/>
          <w:szCs w:val="24"/>
        </w:rPr>
      </w:pPr>
    </w:p>
    <w:p w:rsidR="009B6EE8" w:rsidRPr="007537E9" w:rsidRDefault="009B6EE8" w:rsidP="007537E9">
      <w:pPr>
        <w:autoSpaceDE w:val="0"/>
        <w:autoSpaceDN w:val="0"/>
        <w:adjustRightInd w:val="0"/>
        <w:jc w:val="center"/>
        <w:rPr>
          <w:rFonts w:hAnsi="Times New Roman"/>
          <w:b/>
          <w:sz w:val="24"/>
          <w:szCs w:val="24"/>
        </w:rPr>
      </w:pPr>
      <w:r w:rsidRPr="007537E9">
        <w:rPr>
          <w:rFonts w:hint="eastAsia"/>
          <w:b/>
          <w:sz w:val="24"/>
          <w:szCs w:val="24"/>
        </w:rPr>
        <w:t>表</w:t>
      </w:r>
      <w:r w:rsidRPr="007537E9">
        <w:rPr>
          <w:rFonts w:ascii="Times New Roman" w:hAnsi="Times New Roman" w:cs="Times New Roman"/>
          <w:b/>
          <w:bCs/>
          <w:sz w:val="24"/>
          <w:szCs w:val="24"/>
        </w:rPr>
        <w:t>5</w:t>
      </w:r>
      <w:r w:rsidRPr="007537E9">
        <w:rPr>
          <w:rFonts w:hAnsi="Times New Roman" w:hint="eastAsia"/>
          <w:b/>
          <w:sz w:val="24"/>
          <w:szCs w:val="24"/>
        </w:rPr>
        <w:t>：公司最近三年及一期母公司利润表</w:t>
      </w:r>
    </w:p>
    <w:p w:rsidR="00F008FC" w:rsidRPr="007537E9" w:rsidRDefault="009B6EE8" w:rsidP="007537E9">
      <w:pPr>
        <w:autoSpaceDE w:val="0"/>
        <w:autoSpaceDN w:val="0"/>
        <w:adjustRightInd w:val="0"/>
        <w:jc w:val="right"/>
        <w:rPr>
          <w:rFonts w:hAnsi="Times New Roman"/>
          <w:b/>
          <w:szCs w:val="21"/>
        </w:rPr>
      </w:pPr>
      <w:r w:rsidRPr="007537E9">
        <w:rPr>
          <w:rFonts w:hAnsi="Times New Roman" w:hint="eastAsia"/>
          <w:b/>
          <w:szCs w:val="21"/>
        </w:rPr>
        <w:t>单位：万元</w:t>
      </w:r>
    </w:p>
    <w:tbl>
      <w:tblPr>
        <w:tblW w:w="8786"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417"/>
        <w:gridCol w:w="1417"/>
        <w:gridCol w:w="1417"/>
        <w:gridCol w:w="1417"/>
      </w:tblGrid>
      <w:tr w:rsidR="002B2017" w:rsidRPr="002B2017" w:rsidTr="002B2017">
        <w:trPr>
          <w:trHeight w:val="397"/>
          <w:tblHeader/>
          <w:jc w:val="center"/>
        </w:trPr>
        <w:tc>
          <w:tcPr>
            <w:tcW w:w="3118"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项目</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2015</w:t>
            </w:r>
            <w:r w:rsidRPr="002B2017">
              <w:rPr>
                <w:rFonts w:ascii="Times New Roman" w:hAnsiTheme="minorEastAsia" w:cs="Times New Roman"/>
                <w:b/>
                <w:bCs/>
                <w:color w:val="000000"/>
                <w:kern w:val="0"/>
                <w:szCs w:val="21"/>
              </w:rPr>
              <w:t>年</w:t>
            </w:r>
            <w:r w:rsidRPr="002B2017">
              <w:rPr>
                <w:rFonts w:ascii="Times New Roman" w:hAnsi="Times New Roman" w:cs="Times New Roman"/>
                <w:b/>
                <w:bCs/>
                <w:color w:val="000000"/>
                <w:kern w:val="0"/>
                <w:szCs w:val="21"/>
              </w:rPr>
              <w:t>1-3</w:t>
            </w:r>
            <w:r w:rsidRPr="002B2017">
              <w:rPr>
                <w:rFonts w:ascii="Times New Roman" w:hAnsiTheme="minorEastAsia" w:cs="Times New Roman"/>
                <w:b/>
                <w:bCs/>
                <w:color w:val="000000"/>
                <w:kern w:val="0"/>
                <w:szCs w:val="21"/>
              </w:rPr>
              <w:t>月</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2014</w:t>
            </w:r>
            <w:r w:rsidRPr="002B2017">
              <w:rPr>
                <w:rFonts w:ascii="Times New Roman" w:hAnsiTheme="minorEastAsia" w:cs="Times New Roman"/>
                <w:b/>
                <w:bCs/>
                <w:color w:val="000000"/>
                <w:kern w:val="0"/>
                <w:szCs w:val="21"/>
              </w:rPr>
              <w:t>年度</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2013</w:t>
            </w:r>
            <w:r w:rsidRPr="002B2017">
              <w:rPr>
                <w:rFonts w:ascii="Times New Roman" w:hAnsiTheme="minorEastAsia" w:cs="Times New Roman"/>
                <w:b/>
                <w:bCs/>
                <w:color w:val="000000"/>
                <w:kern w:val="0"/>
                <w:szCs w:val="21"/>
              </w:rPr>
              <w:t>年度</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2012</w:t>
            </w:r>
            <w:r w:rsidRPr="002B2017">
              <w:rPr>
                <w:rFonts w:ascii="Times New Roman" w:hAnsiTheme="minorEastAsia" w:cs="Times New Roman"/>
                <w:b/>
                <w:bCs/>
                <w:color w:val="000000"/>
                <w:kern w:val="0"/>
                <w:szCs w:val="21"/>
              </w:rPr>
              <w:t>年度</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营业总收入</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34,694.73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1,171,577.29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737,209.44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25,559.88</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营业收入</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34,694.73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1,171,577.29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737,209.44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25,559.88</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营业总成本</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49,334.32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950,331.97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591,090.79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48,144.55</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营业成本</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26,805.50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793,043.15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486,076.67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10,128.70</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营业税金及附加</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1,364.99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102,258.65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85,205.76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1,735.74</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销售费用</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433.93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6,222.25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6,368.53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6,995.95</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管理费用</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4,320.77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27,952.66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21,837.30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26,451.35</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财务费用</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14,487.51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18,907.95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-8,404.65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2,996.89</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资产减值损失</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1,921.62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1,947.31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7.18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-164.08</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公允价值变动收益</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58,750.29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1,809.84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17,047.57</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投资收益</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473.41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36,829.69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24,128.45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21,440.23</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营业利润</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-14,166.18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316,825.30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172,056.94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15,903.13</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营业外收入</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11.91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10,662.78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1,922.56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125.85</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营业外支出</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235.46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64.55</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其中：非流动资产处置净损失</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16.74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25.15</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利润总额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-14,154.27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327,252.62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173,930.50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15,964.43</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所得税</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-3,538.57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73,631.03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39,681.73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-1,193.33</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净利润</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-10,615.70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253,621.59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134,248.77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17,157.76</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rPr>
                <w:rFonts w:ascii="Times New Roman" w:hAnsi="Times New Roman" w:cs="Times New Roman"/>
                <w:color w:val="000000"/>
                <w:kern w:val="0"/>
                <w:szCs w:val="21"/>
              </w:rPr>
            </w:pPr>
            <w:r w:rsidRPr="002B2017">
              <w:rPr>
                <w:rFonts w:ascii="Times New Roman" w:hAnsiTheme="minorEastAsia" w:cs="Times New Roman"/>
                <w:color w:val="000000"/>
                <w:kern w:val="0"/>
                <w:szCs w:val="21"/>
              </w:rPr>
              <w:t>其他综合收益</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335.67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1,469.98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200.83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34.89</w:t>
            </w:r>
          </w:p>
        </w:tc>
      </w:tr>
      <w:tr w:rsidR="002B2017" w:rsidRPr="002B2017" w:rsidTr="002B2017">
        <w:trPr>
          <w:trHeight w:val="397"/>
          <w:jc w:val="center"/>
        </w:trPr>
        <w:tc>
          <w:tcPr>
            <w:tcW w:w="3118"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heme="minorEastAsia" w:cs="Times New Roman"/>
                <w:b/>
                <w:bCs/>
                <w:color w:val="000000"/>
                <w:kern w:val="0"/>
                <w:szCs w:val="21"/>
              </w:rPr>
              <w:t>综合收益总额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-10,280.03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255,091.57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134,449.60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17,192.65</w:t>
            </w:r>
          </w:p>
        </w:tc>
      </w:tr>
    </w:tbl>
    <w:p w:rsidR="007537E9" w:rsidRDefault="007537E9" w:rsidP="009B6EE8">
      <w:pPr>
        <w:autoSpaceDE w:val="0"/>
        <w:autoSpaceDN w:val="0"/>
        <w:adjustRightInd w:val="0"/>
        <w:spacing w:line="360" w:lineRule="auto"/>
        <w:jc w:val="center"/>
        <w:rPr>
          <w:rFonts w:ascii="Times New Roman" w:hAnsi="Times New Roman" w:cs="Times New Roman"/>
          <w:b/>
          <w:sz w:val="24"/>
          <w:szCs w:val="24"/>
        </w:rPr>
      </w:pPr>
    </w:p>
    <w:p w:rsidR="009B6EE8" w:rsidRPr="007537E9" w:rsidRDefault="009B6EE8" w:rsidP="007537E9">
      <w:pPr>
        <w:autoSpaceDE w:val="0"/>
        <w:autoSpaceDN w:val="0"/>
        <w:adjustRightInd w:val="0"/>
        <w:jc w:val="center"/>
        <w:rPr>
          <w:rFonts w:ascii="Times New Roman" w:hAnsi="Times New Roman" w:cs="Times New Roman"/>
          <w:b/>
          <w:sz w:val="24"/>
          <w:szCs w:val="24"/>
        </w:rPr>
      </w:pPr>
      <w:r w:rsidRPr="007537E9">
        <w:rPr>
          <w:rFonts w:ascii="Times New Roman" w:hAnsi="Times New Roman" w:cs="Times New Roman"/>
          <w:b/>
          <w:sz w:val="24"/>
          <w:szCs w:val="24"/>
        </w:rPr>
        <w:t>表</w:t>
      </w:r>
      <w:r w:rsidRPr="007537E9">
        <w:rPr>
          <w:rFonts w:ascii="Times New Roman" w:hAnsi="Times New Roman" w:cs="Times New Roman"/>
          <w:b/>
          <w:bCs/>
          <w:sz w:val="24"/>
          <w:szCs w:val="24"/>
        </w:rPr>
        <w:t>6</w:t>
      </w:r>
      <w:r w:rsidRPr="007537E9">
        <w:rPr>
          <w:rFonts w:ascii="Times New Roman" w:hAnsi="Times New Roman" w:cs="Times New Roman" w:hint="eastAsia"/>
          <w:b/>
          <w:bCs/>
          <w:sz w:val="24"/>
          <w:szCs w:val="24"/>
        </w:rPr>
        <w:t>：</w:t>
      </w:r>
      <w:r w:rsidRPr="007537E9">
        <w:rPr>
          <w:rFonts w:ascii="Times New Roman" w:hAnsi="Times New Roman" w:cs="Times New Roman"/>
          <w:b/>
          <w:sz w:val="24"/>
          <w:szCs w:val="24"/>
        </w:rPr>
        <w:t>公司最近三年及一期母公司现金流量表</w:t>
      </w:r>
    </w:p>
    <w:p w:rsidR="009B6EE8" w:rsidRDefault="009B6EE8" w:rsidP="007537E9">
      <w:pPr>
        <w:autoSpaceDE w:val="0"/>
        <w:autoSpaceDN w:val="0"/>
        <w:adjustRightInd w:val="0"/>
        <w:jc w:val="right"/>
        <w:rPr>
          <w:rFonts w:hAnsi="Times New Roman"/>
          <w:b/>
          <w:szCs w:val="21"/>
        </w:rPr>
      </w:pPr>
      <w:r w:rsidRPr="007537E9">
        <w:rPr>
          <w:rFonts w:hAnsi="Times New Roman" w:hint="eastAsia"/>
          <w:b/>
          <w:szCs w:val="21"/>
        </w:rPr>
        <w:t>单位：万元</w:t>
      </w:r>
    </w:p>
    <w:tbl>
      <w:tblPr>
        <w:tblW w:w="884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17"/>
        <w:gridCol w:w="1417"/>
        <w:gridCol w:w="1417"/>
        <w:gridCol w:w="1417"/>
      </w:tblGrid>
      <w:tr w:rsidR="002B2017" w:rsidRPr="002B2017" w:rsidTr="002B2017">
        <w:trPr>
          <w:trHeight w:val="397"/>
          <w:tblHeader/>
          <w:jc w:val="center"/>
        </w:trPr>
        <w:tc>
          <w:tcPr>
            <w:tcW w:w="3175"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项目</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2015</w:t>
            </w:r>
            <w:r w:rsidRPr="002B2017">
              <w:rPr>
                <w:rFonts w:ascii="Times New Roman" w:hAnsi="Times New Roman" w:cs="Times New Roman"/>
                <w:b/>
                <w:bCs/>
                <w:color w:val="000000"/>
                <w:kern w:val="0"/>
                <w:szCs w:val="21"/>
              </w:rPr>
              <w:t>年</w:t>
            </w:r>
            <w:r w:rsidRPr="002B2017">
              <w:rPr>
                <w:rFonts w:ascii="Times New Roman" w:hAnsi="Times New Roman" w:cs="Times New Roman"/>
                <w:b/>
                <w:bCs/>
                <w:color w:val="000000"/>
                <w:kern w:val="0"/>
                <w:szCs w:val="21"/>
              </w:rPr>
              <w:t>1-3</w:t>
            </w:r>
            <w:r w:rsidRPr="002B2017">
              <w:rPr>
                <w:rFonts w:ascii="Times New Roman" w:hAnsi="Times New Roman" w:cs="Times New Roman"/>
                <w:b/>
                <w:bCs/>
                <w:color w:val="000000"/>
                <w:kern w:val="0"/>
                <w:szCs w:val="21"/>
              </w:rPr>
              <w:t>月</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2014</w:t>
            </w:r>
            <w:r w:rsidRPr="002B2017">
              <w:rPr>
                <w:rFonts w:ascii="Times New Roman" w:hAnsi="Times New Roman" w:cs="Times New Roman"/>
                <w:b/>
                <w:bCs/>
                <w:color w:val="000000"/>
                <w:kern w:val="0"/>
                <w:szCs w:val="21"/>
              </w:rPr>
              <w:t>年度</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2013</w:t>
            </w:r>
            <w:r w:rsidRPr="002B2017">
              <w:rPr>
                <w:rFonts w:ascii="Times New Roman" w:hAnsi="Times New Roman" w:cs="Times New Roman"/>
                <w:b/>
                <w:bCs/>
                <w:color w:val="000000"/>
                <w:kern w:val="0"/>
                <w:szCs w:val="21"/>
              </w:rPr>
              <w:t>年度</w:t>
            </w:r>
          </w:p>
        </w:tc>
        <w:tc>
          <w:tcPr>
            <w:tcW w:w="1417" w:type="dxa"/>
            <w:shd w:val="clear" w:color="auto" w:fill="auto"/>
            <w:vAlign w:val="center"/>
            <w:hideMark/>
          </w:tcPr>
          <w:p w:rsidR="002B2017" w:rsidRPr="002B2017" w:rsidRDefault="002B2017" w:rsidP="002B2017">
            <w:pPr>
              <w:widowControl/>
              <w:jc w:val="center"/>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2012</w:t>
            </w:r>
            <w:r w:rsidRPr="002B2017">
              <w:rPr>
                <w:rFonts w:ascii="Times New Roman" w:hAnsi="Times New Roman" w:cs="Times New Roman"/>
                <w:b/>
                <w:bCs/>
                <w:color w:val="000000"/>
                <w:kern w:val="0"/>
                <w:szCs w:val="21"/>
              </w:rPr>
              <w:t>年度</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经营活动产生的现金流量：</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销售商品、提供劳务收到的现金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93,816.40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595,917.99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683,373.11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595,520.25</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收到的税费返还</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2,007.99</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收到其他与经营活动有关的现金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828,066.35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2,783,351.87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2,593,575.14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3,158,780.28</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经营活动现金流入小计</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921,882.75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3,379,269.86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3,276,948.25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3,756,308.52</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lastRenderedPageBreak/>
              <w:t>购买商品、接受劳务支付的现金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20,692.44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171,939.53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133,990.06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662,817.88</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支付给职工以及为职工支付的现金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3,709.05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17,479.80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17,779.55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15,731.59</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支付的各项税费</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82,813.11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84,934.77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87,809.73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25,759.70</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支付其他与经营活动有关的现金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1,015,880.30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3,153,479.46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3,098,812.64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3,154,650.41</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经营活动现金流出小计</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1,123,094.90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3,427,833.56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3,338,391.98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3,858,959.58</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经营活动产生的现金流量净额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-201,212.15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-48,563.70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-61,443.73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-102,651.06</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投资活动产生的现金流量：</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收回投资收到的现金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100,000.00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400,000.00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48,677.25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0</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取得投资收益收到的现金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473.4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36,829.68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24,128.46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21,440.23</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处置固定资产、无形资产和其他长期资产收回的现金净额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5.39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0.24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投资活动现金流入小计</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100,477.10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436,835.07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72,805.95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21,440.23</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购建固定资产、无形资产和其他长期资产支付的现金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155.21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1,721.17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1,441.76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1,159.18</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投资支付的现金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163,238.72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964,440.41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94,694.64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35,697.00</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投资活动现金流出小计</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163,393.93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966,161.58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96,136.40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36,856.18</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投资活动产生的现金流量净额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-62,916.83</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-529,326.51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-23,330.45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-15,415.95</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筹资活动产生的现金流量：</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取得借款收到的现金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235,800.00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1,502,700.00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1,280,516.24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1,149,934.32</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发行债券收到的现金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278,300.00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筹资活动现金流入小计</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514,100.00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1,502,700.00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1,280,516.24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1,149,934.32</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偿还债务支付的现金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460,715.00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737,780.56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1,074,127.67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820,421.22</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分配股利、利润或偿付利息支付的现金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36,728.22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262,944.71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171,658.48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141,844.10</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支付其他与筹资活动有关的现金</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25,217.49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筹资活动现金流出小计</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497,443.22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1,025,942.76</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1,245,786.15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962,265.32</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筹资活动产生的现金流量净额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16,656.78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476,757.24</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34,730.09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187,669.00</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汇率变动对现金的影响</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-4.18</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-0.34</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现金及现金等价物净增加额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-247,472.20</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-101,137.15</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-50,044.09</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69,601.65</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color w:val="000000"/>
                <w:kern w:val="0"/>
                <w:szCs w:val="21"/>
              </w:rPr>
            </w:pPr>
            <w:r w:rsidRPr="002B2017">
              <w:rPr>
                <w:rFonts w:ascii="Times New Roman" w:hAnsi="Times New Roman" w:cs="Times New Roman"/>
                <w:color w:val="000000"/>
                <w:kern w:val="0"/>
                <w:szCs w:val="21"/>
              </w:rPr>
              <w:t>期初现金及现金等价物余额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414,822.17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515,959.32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566,003.41</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496,401.76</w:t>
            </w:r>
          </w:p>
        </w:tc>
      </w:tr>
      <w:tr w:rsidR="002B2017" w:rsidRPr="002B2017" w:rsidTr="002B2017">
        <w:trPr>
          <w:trHeight w:val="397"/>
          <w:jc w:val="center"/>
        </w:trPr>
        <w:tc>
          <w:tcPr>
            <w:tcW w:w="3175" w:type="dxa"/>
            <w:shd w:val="clear" w:color="auto" w:fill="auto"/>
            <w:vAlign w:val="center"/>
            <w:hideMark/>
          </w:tcPr>
          <w:p w:rsidR="002B2017" w:rsidRPr="002B2017" w:rsidRDefault="002B2017" w:rsidP="002B2017">
            <w:pPr>
              <w:widowControl/>
              <w:jc w:val="left"/>
              <w:rPr>
                <w:rFonts w:ascii="Times New Roman" w:hAnsi="Times New Roman" w:cs="Times New Roman"/>
                <w:b/>
                <w:bCs/>
                <w:color w:val="000000"/>
                <w:kern w:val="0"/>
                <w:szCs w:val="21"/>
              </w:rPr>
            </w:pPr>
            <w:r w:rsidRPr="002B2017">
              <w:rPr>
                <w:rFonts w:ascii="Times New Roman" w:hAnsi="Times New Roman" w:cs="Times New Roman"/>
                <w:b/>
                <w:bCs/>
                <w:color w:val="000000"/>
                <w:kern w:val="0"/>
                <w:szCs w:val="21"/>
              </w:rPr>
              <w:t>期末现金及现金等价物余额</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167,349.97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414,822.17</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515,959.32</w:t>
            </w:r>
          </w:p>
        </w:tc>
        <w:tc>
          <w:tcPr>
            <w:tcW w:w="1417" w:type="dxa"/>
            <w:shd w:val="clear" w:color="auto" w:fill="auto"/>
            <w:noWrap/>
            <w:vAlign w:val="center"/>
            <w:hideMark/>
          </w:tcPr>
          <w:p w:rsidR="002B2017" w:rsidRPr="002B2017" w:rsidRDefault="002B2017" w:rsidP="002B2017">
            <w:pPr>
              <w:widowControl/>
              <w:jc w:val="right"/>
              <w:rPr>
                <w:rFonts w:ascii="Times New Roman" w:hAnsi="Times New Roman" w:cs="Times New Roman"/>
                <w:color w:val="000000"/>
                <w:kern w:val="0"/>
                <w:szCs w:val="21"/>
              </w:rPr>
            </w:pPr>
            <w:r w:rsidRPr="002B2017">
              <w:rPr>
                <w:rFonts w:ascii="Times New Roman" w:hAnsi="Times New Roman" w:cs="Times New Roman"/>
                <w:color w:val="000000"/>
                <w:kern w:val="0"/>
                <w:szCs w:val="21"/>
              </w:rPr>
              <w:t>566,003.41</w:t>
            </w:r>
          </w:p>
        </w:tc>
      </w:tr>
    </w:tbl>
    <w:p w:rsidR="002B2017" w:rsidRPr="007537E9" w:rsidRDefault="002B2017" w:rsidP="007537E9">
      <w:pPr>
        <w:autoSpaceDE w:val="0"/>
        <w:autoSpaceDN w:val="0"/>
        <w:adjustRightInd w:val="0"/>
        <w:jc w:val="right"/>
        <w:rPr>
          <w:rFonts w:hAnsi="Times New Roman"/>
          <w:b/>
          <w:szCs w:val="21"/>
        </w:rPr>
      </w:pPr>
    </w:p>
    <w:p w:rsidR="00F008FC" w:rsidRDefault="0038656B" w:rsidP="0038656B">
      <w:pPr>
        <w:autoSpaceDE w:val="0"/>
        <w:autoSpaceDN w:val="0"/>
        <w:adjustRightInd w:val="0"/>
        <w:spacing w:line="360" w:lineRule="auto"/>
        <w:ind w:firstLineChars="200" w:firstLine="482"/>
        <w:jc w:val="left"/>
        <w:rPr>
          <w:b/>
          <w:sz w:val="24"/>
          <w:szCs w:val="24"/>
        </w:rPr>
      </w:pPr>
      <w:r w:rsidRPr="0038656B">
        <w:rPr>
          <w:rFonts w:hint="eastAsia"/>
          <w:b/>
          <w:sz w:val="24"/>
          <w:szCs w:val="24"/>
        </w:rPr>
        <w:t>（二）公司最近三年及一期合并范围变化情况</w:t>
      </w:r>
    </w:p>
    <w:p w:rsidR="0038656B" w:rsidRPr="0038656B" w:rsidRDefault="00267780" w:rsidP="0038656B">
      <w:pPr>
        <w:autoSpaceDE w:val="0"/>
        <w:autoSpaceDN w:val="0"/>
        <w:adjustRightInd w:val="0"/>
        <w:spacing w:line="360" w:lineRule="auto"/>
        <w:ind w:firstLineChars="200" w:firstLine="482"/>
        <w:jc w:val="left"/>
        <w:rPr>
          <w:rFonts w:ascii="Times New Roman" w:hAnsi="Times New Roman" w:cs="Times New Roman"/>
          <w:b/>
          <w:sz w:val="24"/>
          <w:szCs w:val="24"/>
        </w:rPr>
      </w:pPr>
      <w:r>
        <w:rPr>
          <w:rFonts w:ascii="Times New Roman" w:hAnsi="Times New Roman" w:cs="Times New Roman" w:hint="eastAsia"/>
          <w:b/>
          <w:sz w:val="24"/>
          <w:szCs w:val="24"/>
        </w:rPr>
        <w:t>1</w:t>
      </w:r>
      <w:r>
        <w:rPr>
          <w:rFonts w:ascii="Times New Roman" w:hAnsi="Times New Roman" w:cs="Times New Roman" w:hint="eastAsia"/>
          <w:b/>
          <w:sz w:val="24"/>
          <w:szCs w:val="24"/>
        </w:rPr>
        <w:t>、</w:t>
      </w:r>
      <w:r w:rsidR="0038656B" w:rsidRPr="0038656B">
        <w:rPr>
          <w:rFonts w:ascii="Times New Roman" w:hAnsi="Times New Roman" w:cs="Times New Roman" w:hint="eastAsia"/>
          <w:b/>
          <w:sz w:val="24"/>
          <w:szCs w:val="24"/>
        </w:rPr>
        <w:t>2012</w:t>
      </w:r>
      <w:r w:rsidR="0038656B" w:rsidRPr="0038656B">
        <w:rPr>
          <w:rFonts w:ascii="Times New Roman" w:hAnsi="Times New Roman" w:cs="Times New Roman" w:hint="eastAsia"/>
          <w:b/>
          <w:sz w:val="24"/>
          <w:szCs w:val="24"/>
        </w:rPr>
        <w:t>年度合并报表范围的变化</w:t>
      </w:r>
      <w:r w:rsidR="0038656B" w:rsidRPr="0038656B">
        <w:rPr>
          <w:rFonts w:ascii="Times New Roman" w:hAnsi="Times New Roman" w:cs="Times New Roman" w:hint="eastAsia"/>
          <w:b/>
          <w:sz w:val="24"/>
          <w:szCs w:val="24"/>
        </w:rPr>
        <w:tab/>
      </w:r>
    </w:p>
    <w:p w:rsidR="0038656B" w:rsidRPr="0038656B" w:rsidRDefault="00267780" w:rsidP="000949BF">
      <w:pPr>
        <w:autoSpaceDE w:val="0"/>
        <w:autoSpaceDN w:val="0"/>
        <w:adjustRightIn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lastRenderedPageBreak/>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38656B" w:rsidRPr="0038656B">
        <w:rPr>
          <w:rFonts w:ascii="Times New Roman" w:hAnsi="Times New Roman" w:cs="Times New Roman" w:hint="eastAsia"/>
          <w:sz w:val="24"/>
          <w:szCs w:val="24"/>
        </w:rPr>
        <w:t>本年增加</w:t>
      </w:r>
      <w:r w:rsidR="0038656B" w:rsidRPr="0038656B">
        <w:rPr>
          <w:rFonts w:ascii="Times New Roman" w:hAnsi="Times New Roman" w:cs="Times New Roman" w:hint="eastAsia"/>
          <w:sz w:val="24"/>
          <w:szCs w:val="24"/>
        </w:rPr>
        <w:t>1</w:t>
      </w:r>
      <w:r w:rsidR="0038656B" w:rsidRPr="0038656B">
        <w:rPr>
          <w:rFonts w:ascii="Times New Roman" w:hAnsi="Times New Roman" w:cs="Times New Roman" w:hint="eastAsia"/>
          <w:sz w:val="24"/>
          <w:szCs w:val="24"/>
        </w:rPr>
        <w:t>家二级子公司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hint="eastAsia"/>
          <w:sz w:val="24"/>
          <w:szCs w:val="24"/>
        </w:rPr>
        <w:t>2012</w:t>
      </w:r>
      <w:r w:rsidRPr="0038656B">
        <w:rPr>
          <w:rFonts w:ascii="Times New Roman" w:hAnsi="Times New Roman" w:cs="Times New Roman" w:hint="eastAsia"/>
          <w:sz w:val="24"/>
          <w:szCs w:val="24"/>
        </w:rPr>
        <w:t>年</w:t>
      </w:r>
      <w:r w:rsidRPr="0038656B">
        <w:rPr>
          <w:rFonts w:ascii="Times New Roman" w:hAnsi="Times New Roman" w:cs="Times New Roman" w:hint="eastAsia"/>
          <w:sz w:val="24"/>
          <w:szCs w:val="24"/>
        </w:rPr>
        <w:t>8</w:t>
      </w:r>
      <w:r w:rsidRPr="0038656B">
        <w:rPr>
          <w:rFonts w:ascii="Times New Roman" w:hAnsi="Times New Roman" w:cs="Times New Roman" w:hint="eastAsia"/>
          <w:sz w:val="24"/>
          <w:szCs w:val="24"/>
        </w:rPr>
        <w:t>月，</w:t>
      </w:r>
      <w:r w:rsidR="004D50BB">
        <w:rPr>
          <w:rFonts w:ascii="Times New Roman" w:hAnsi="Times New Roman" w:cs="Times New Roman" w:hint="eastAsia"/>
          <w:sz w:val="24"/>
          <w:szCs w:val="24"/>
        </w:rPr>
        <w:t>公司</w:t>
      </w:r>
      <w:r w:rsidRPr="0038656B">
        <w:rPr>
          <w:rFonts w:ascii="Times New Roman" w:hAnsi="Times New Roman" w:cs="Times New Roman" w:hint="eastAsia"/>
          <w:sz w:val="24"/>
          <w:szCs w:val="24"/>
        </w:rPr>
        <w:t>出资</w:t>
      </w:r>
      <w:r w:rsidRPr="0038656B">
        <w:rPr>
          <w:rFonts w:ascii="Times New Roman" w:hAnsi="Times New Roman" w:cs="Times New Roman" w:hint="eastAsia"/>
          <w:sz w:val="24"/>
          <w:szCs w:val="24"/>
        </w:rPr>
        <w:t>2,000</w:t>
      </w:r>
      <w:r w:rsidRPr="0038656B">
        <w:rPr>
          <w:rFonts w:ascii="Times New Roman" w:hAnsi="Times New Roman" w:cs="Times New Roman" w:hint="eastAsia"/>
          <w:sz w:val="24"/>
          <w:szCs w:val="24"/>
        </w:rPr>
        <w:t>万元设立全资子公司融信（天津）投资管理有限公司，注册资金</w:t>
      </w:r>
      <w:r w:rsidRPr="0038656B">
        <w:rPr>
          <w:rFonts w:ascii="Times New Roman" w:hAnsi="Times New Roman" w:cs="Times New Roman" w:hint="eastAsia"/>
          <w:sz w:val="24"/>
          <w:szCs w:val="24"/>
        </w:rPr>
        <w:t>2,000</w:t>
      </w:r>
      <w:r w:rsidRPr="0038656B">
        <w:rPr>
          <w:rFonts w:ascii="Times New Roman" w:hAnsi="Times New Roman" w:cs="Times New Roman" w:hint="eastAsia"/>
          <w:sz w:val="24"/>
          <w:szCs w:val="24"/>
        </w:rPr>
        <w:t>万元。</w:t>
      </w:r>
    </w:p>
    <w:p w:rsidR="0038656B" w:rsidRPr="0038656B" w:rsidRDefault="007537E9" w:rsidP="000949BF">
      <w:pPr>
        <w:autoSpaceDE w:val="0"/>
        <w:autoSpaceDN w:val="0"/>
        <w:adjustRightIn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0038656B" w:rsidRPr="0038656B">
        <w:rPr>
          <w:rFonts w:ascii="Times New Roman" w:hAnsi="Times New Roman" w:cs="Times New Roman" w:hint="eastAsia"/>
          <w:sz w:val="24"/>
          <w:szCs w:val="24"/>
        </w:rPr>
        <w:t>本年增加</w:t>
      </w:r>
      <w:r w:rsidR="0038656B" w:rsidRPr="0038656B">
        <w:rPr>
          <w:rFonts w:ascii="Times New Roman" w:hAnsi="Times New Roman" w:cs="Times New Roman" w:hint="eastAsia"/>
          <w:sz w:val="24"/>
          <w:szCs w:val="24"/>
        </w:rPr>
        <w:t>1</w:t>
      </w:r>
      <w:r w:rsidR="0038656B" w:rsidRPr="0038656B">
        <w:rPr>
          <w:rFonts w:ascii="Times New Roman" w:hAnsi="Times New Roman" w:cs="Times New Roman" w:hint="eastAsia"/>
          <w:sz w:val="24"/>
          <w:szCs w:val="24"/>
        </w:rPr>
        <w:t>家三级子公司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4B0052">
        <w:rPr>
          <w:rFonts w:ascii="Times New Roman" w:hAnsi="Times New Roman" w:cs="Times New Roman" w:hint="eastAsia"/>
          <w:sz w:val="24"/>
          <w:szCs w:val="24"/>
        </w:rPr>
        <w:t>2012</w:t>
      </w:r>
      <w:r w:rsidRPr="004B0052">
        <w:rPr>
          <w:rFonts w:ascii="Times New Roman" w:hAnsi="Times New Roman" w:cs="Times New Roman" w:hint="eastAsia"/>
          <w:sz w:val="24"/>
          <w:szCs w:val="24"/>
        </w:rPr>
        <w:t>年</w:t>
      </w:r>
      <w:r w:rsidR="00E3632D">
        <w:rPr>
          <w:rFonts w:ascii="Times New Roman" w:hAnsi="Times New Roman" w:cs="Times New Roman" w:hint="eastAsia"/>
          <w:sz w:val="24"/>
          <w:szCs w:val="24"/>
        </w:rPr>
        <w:t>7</w:t>
      </w:r>
      <w:r w:rsidRPr="004B0052">
        <w:rPr>
          <w:rFonts w:ascii="Times New Roman" w:hAnsi="Times New Roman" w:cs="Times New Roman" w:hint="eastAsia"/>
          <w:sz w:val="24"/>
          <w:szCs w:val="24"/>
        </w:rPr>
        <w:t>月，由公司全资子公司金融街（天津）置业有限公司出资</w:t>
      </w:r>
      <w:r w:rsidRPr="004B0052">
        <w:rPr>
          <w:rFonts w:ascii="Times New Roman" w:hAnsi="Times New Roman" w:cs="Times New Roman" w:hint="eastAsia"/>
          <w:sz w:val="24"/>
          <w:szCs w:val="24"/>
        </w:rPr>
        <w:t>61,200</w:t>
      </w:r>
      <w:r w:rsidRPr="004B0052">
        <w:rPr>
          <w:rFonts w:ascii="Times New Roman" w:hAnsi="Times New Roman" w:cs="Times New Roman" w:hint="eastAsia"/>
          <w:sz w:val="24"/>
          <w:szCs w:val="24"/>
        </w:rPr>
        <w:t>万元与平安信托有限责任公司合资设立金融</w:t>
      </w:r>
      <w:proofErr w:type="gramStart"/>
      <w:r w:rsidRPr="004B0052">
        <w:rPr>
          <w:rFonts w:ascii="Times New Roman" w:hAnsi="Times New Roman" w:cs="Times New Roman" w:hint="eastAsia"/>
          <w:sz w:val="24"/>
          <w:szCs w:val="24"/>
        </w:rPr>
        <w:t>街融展</w:t>
      </w:r>
      <w:proofErr w:type="gramEnd"/>
      <w:r w:rsidR="000975BC">
        <w:rPr>
          <w:rFonts w:ascii="Times New Roman" w:hAnsi="Times New Roman" w:cs="Times New Roman" w:hint="eastAsia"/>
          <w:sz w:val="24"/>
          <w:szCs w:val="24"/>
        </w:rPr>
        <w:t>（</w:t>
      </w:r>
      <w:r w:rsidRPr="004B0052">
        <w:rPr>
          <w:rFonts w:ascii="Times New Roman" w:hAnsi="Times New Roman" w:cs="Times New Roman" w:hint="eastAsia"/>
          <w:sz w:val="24"/>
          <w:szCs w:val="24"/>
        </w:rPr>
        <w:t>天津</w:t>
      </w:r>
      <w:r w:rsidR="000975BC">
        <w:rPr>
          <w:rFonts w:ascii="Times New Roman" w:hAnsi="Times New Roman" w:cs="Times New Roman" w:hint="eastAsia"/>
          <w:sz w:val="24"/>
          <w:szCs w:val="24"/>
        </w:rPr>
        <w:t>）</w:t>
      </w:r>
      <w:r w:rsidRPr="004B0052">
        <w:rPr>
          <w:rFonts w:ascii="Times New Roman" w:hAnsi="Times New Roman" w:cs="Times New Roman" w:hint="eastAsia"/>
          <w:sz w:val="24"/>
          <w:szCs w:val="24"/>
        </w:rPr>
        <w:t>置业有限公司，注册资本</w:t>
      </w:r>
      <w:r w:rsidRPr="004B0052">
        <w:rPr>
          <w:rFonts w:ascii="Times New Roman" w:hAnsi="Times New Roman" w:cs="Times New Roman" w:hint="eastAsia"/>
          <w:sz w:val="24"/>
          <w:szCs w:val="24"/>
        </w:rPr>
        <w:t>120,000</w:t>
      </w:r>
      <w:r w:rsidRPr="004B0052">
        <w:rPr>
          <w:rFonts w:ascii="Times New Roman" w:hAnsi="Times New Roman" w:cs="Times New Roman" w:hint="eastAsia"/>
          <w:sz w:val="24"/>
          <w:szCs w:val="24"/>
        </w:rPr>
        <w:t>万元，</w:t>
      </w:r>
      <w:r w:rsidR="004D50BB" w:rsidRPr="004B0052">
        <w:rPr>
          <w:rFonts w:ascii="Times New Roman" w:hAnsi="Times New Roman" w:cs="Times New Roman" w:hint="eastAsia"/>
          <w:sz w:val="24"/>
          <w:szCs w:val="24"/>
        </w:rPr>
        <w:t>公司</w:t>
      </w:r>
      <w:r w:rsidRPr="004B0052">
        <w:rPr>
          <w:rFonts w:ascii="Times New Roman" w:hAnsi="Times New Roman" w:cs="Times New Roman" w:hint="eastAsia"/>
          <w:sz w:val="24"/>
          <w:szCs w:val="24"/>
        </w:rPr>
        <w:t>持股比例为</w:t>
      </w:r>
      <w:r w:rsidRPr="004B0052">
        <w:rPr>
          <w:rFonts w:ascii="Times New Roman" w:hAnsi="Times New Roman" w:cs="Times New Roman" w:hint="eastAsia"/>
          <w:sz w:val="24"/>
          <w:szCs w:val="24"/>
        </w:rPr>
        <w:t>51%</w:t>
      </w:r>
      <w:r w:rsidRPr="004B0052">
        <w:rPr>
          <w:rFonts w:ascii="Times New Roman" w:hAnsi="Times New Roman" w:cs="Times New Roman" w:hint="eastAsia"/>
          <w:sz w:val="24"/>
          <w:szCs w:val="24"/>
        </w:rPr>
        <w:t>。</w:t>
      </w:r>
    </w:p>
    <w:p w:rsidR="0038656B" w:rsidRPr="0038656B" w:rsidRDefault="00267780" w:rsidP="000949BF">
      <w:pPr>
        <w:autoSpaceDE w:val="0"/>
        <w:autoSpaceDN w:val="0"/>
        <w:adjustRightInd w:val="0"/>
        <w:spacing w:line="360" w:lineRule="auto"/>
        <w:ind w:firstLineChars="200" w:firstLine="482"/>
        <w:jc w:val="left"/>
        <w:outlineLvl w:val="0"/>
        <w:rPr>
          <w:rFonts w:ascii="Times New Roman" w:hAnsi="Times New Roman" w:cs="Times New Roman"/>
          <w:b/>
          <w:sz w:val="24"/>
          <w:szCs w:val="24"/>
        </w:rPr>
      </w:pPr>
      <w:r>
        <w:rPr>
          <w:rFonts w:ascii="Times New Roman" w:hAnsi="Times New Roman" w:cs="Times New Roman" w:hint="eastAsia"/>
          <w:b/>
          <w:sz w:val="24"/>
          <w:szCs w:val="24"/>
        </w:rPr>
        <w:t>2</w:t>
      </w:r>
      <w:r>
        <w:rPr>
          <w:rFonts w:ascii="Times New Roman" w:hAnsi="Times New Roman" w:cs="Times New Roman" w:hint="eastAsia"/>
          <w:b/>
          <w:sz w:val="24"/>
          <w:szCs w:val="24"/>
        </w:rPr>
        <w:t>、</w:t>
      </w:r>
      <w:r w:rsidR="0038656B" w:rsidRPr="0038656B">
        <w:rPr>
          <w:rFonts w:ascii="Times New Roman" w:hAnsi="Times New Roman" w:cs="Times New Roman" w:hint="eastAsia"/>
          <w:b/>
          <w:sz w:val="24"/>
          <w:szCs w:val="24"/>
        </w:rPr>
        <w:t>2013</w:t>
      </w:r>
      <w:r w:rsidR="0038656B" w:rsidRPr="0038656B">
        <w:rPr>
          <w:rFonts w:ascii="Times New Roman" w:hAnsi="Times New Roman" w:cs="Times New Roman" w:hint="eastAsia"/>
          <w:b/>
          <w:sz w:val="24"/>
          <w:szCs w:val="24"/>
        </w:rPr>
        <w:t>年度合并报表范围的变化</w:t>
      </w:r>
    </w:p>
    <w:p w:rsidR="0038656B" w:rsidRPr="0038656B" w:rsidRDefault="00267780" w:rsidP="0038656B">
      <w:pPr>
        <w:autoSpaceDE w:val="0"/>
        <w:autoSpaceDN w:val="0"/>
        <w:adjustRightIn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7537E9">
        <w:rPr>
          <w:rFonts w:ascii="Times New Roman" w:hAnsi="Times New Roman" w:cs="Times New Roman" w:hint="eastAsia"/>
          <w:sz w:val="24"/>
          <w:szCs w:val="24"/>
        </w:rPr>
        <w:t>本年</w:t>
      </w:r>
      <w:r w:rsidR="0038656B" w:rsidRPr="0038656B">
        <w:rPr>
          <w:rFonts w:ascii="Times New Roman" w:hAnsi="Times New Roman" w:cs="Times New Roman"/>
          <w:sz w:val="24"/>
          <w:szCs w:val="24"/>
        </w:rPr>
        <w:t>公司增加</w:t>
      </w:r>
      <w:r w:rsidR="0038656B" w:rsidRPr="0038656B">
        <w:rPr>
          <w:rFonts w:ascii="Times New Roman" w:hAnsi="Times New Roman" w:cs="Times New Roman"/>
          <w:sz w:val="24"/>
          <w:szCs w:val="24"/>
        </w:rPr>
        <w:t>3</w:t>
      </w:r>
      <w:r w:rsidR="0038656B" w:rsidRPr="0038656B">
        <w:rPr>
          <w:rFonts w:ascii="Times New Roman" w:hAnsi="Times New Roman" w:cs="Times New Roman"/>
          <w:sz w:val="24"/>
          <w:szCs w:val="24"/>
        </w:rPr>
        <w:t>家二级子公司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经北京市工商行政管理局西城分局批准，由公司与</w:t>
      </w:r>
      <w:proofErr w:type="gramStart"/>
      <w:r w:rsidRPr="0038656B">
        <w:rPr>
          <w:rFonts w:ascii="Times New Roman" w:hAnsi="Times New Roman" w:cs="Times New Roman"/>
          <w:sz w:val="24"/>
          <w:szCs w:val="24"/>
        </w:rPr>
        <w:t>山南锦融金融</w:t>
      </w:r>
      <w:proofErr w:type="gramEnd"/>
      <w:r w:rsidRPr="0038656B">
        <w:rPr>
          <w:rFonts w:ascii="Times New Roman" w:hAnsi="Times New Roman" w:cs="Times New Roman"/>
          <w:sz w:val="24"/>
          <w:szCs w:val="24"/>
        </w:rPr>
        <w:t>文化投资合伙企业（有限合伙）共同出资组建金融街融通（北京）置业有限公司，于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7</w:t>
      </w:r>
      <w:r w:rsidRPr="0038656B">
        <w:rPr>
          <w:rFonts w:ascii="Times New Roman" w:hAnsi="Times New Roman" w:cs="Times New Roman"/>
          <w:sz w:val="24"/>
          <w:szCs w:val="24"/>
        </w:rPr>
        <w:t>月取得北京市工商行政管理局西城分局换发的</w:t>
      </w:r>
      <w:r w:rsidRPr="0038656B">
        <w:rPr>
          <w:rFonts w:ascii="Times New Roman" w:hAnsi="Times New Roman" w:cs="Times New Roman"/>
          <w:sz w:val="24"/>
          <w:szCs w:val="24"/>
        </w:rPr>
        <w:t>110102016050202</w:t>
      </w:r>
      <w:r w:rsidRPr="0038656B">
        <w:rPr>
          <w:rFonts w:ascii="Times New Roman" w:hAnsi="Times New Roman" w:cs="Times New Roman"/>
          <w:sz w:val="24"/>
          <w:szCs w:val="24"/>
        </w:rPr>
        <w:t>号《企业法人营业执照》，注册资本为</w:t>
      </w:r>
      <w:r w:rsidRPr="0038656B">
        <w:rPr>
          <w:rFonts w:ascii="Times New Roman" w:hAnsi="Times New Roman" w:cs="Times New Roman"/>
          <w:sz w:val="24"/>
          <w:szCs w:val="24"/>
        </w:rPr>
        <w:t>1,000</w:t>
      </w:r>
      <w:r w:rsidRPr="0038656B">
        <w:rPr>
          <w:rFonts w:ascii="Times New Roman" w:hAnsi="Times New Roman" w:cs="Times New Roman"/>
          <w:sz w:val="24"/>
          <w:szCs w:val="24"/>
        </w:rPr>
        <w:t>万元，实收资本为</w:t>
      </w:r>
      <w:r w:rsidRPr="0038656B">
        <w:rPr>
          <w:rFonts w:ascii="Times New Roman" w:hAnsi="Times New Roman" w:cs="Times New Roman"/>
          <w:sz w:val="24"/>
          <w:szCs w:val="24"/>
        </w:rPr>
        <w:t>1,000</w:t>
      </w:r>
      <w:r w:rsidRPr="0038656B">
        <w:rPr>
          <w:rFonts w:ascii="Times New Roman" w:hAnsi="Times New Roman" w:cs="Times New Roman"/>
          <w:sz w:val="24"/>
          <w:szCs w:val="24"/>
        </w:rPr>
        <w:t>万元，其中</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51%</w:t>
      </w:r>
      <w:r w:rsidRPr="0038656B">
        <w:rPr>
          <w:rFonts w:ascii="Times New Roman" w:hAnsi="Times New Roman" w:cs="Times New Roman"/>
          <w:sz w:val="24"/>
          <w:szCs w:val="24"/>
        </w:rPr>
        <w:t>，</w:t>
      </w:r>
      <w:proofErr w:type="gramStart"/>
      <w:r w:rsidRPr="0038656B">
        <w:rPr>
          <w:rFonts w:ascii="Times New Roman" w:hAnsi="Times New Roman" w:cs="Times New Roman"/>
          <w:sz w:val="24"/>
          <w:szCs w:val="24"/>
        </w:rPr>
        <w:t>山南锦融金融</w:t>
      </w:r>
      <w:proofErr w:type="gramEnd"/>
      <w:r w:rsidRPr="0038656B">
        <w:rPr>
          <w:rFonts w:ascii="Times New Roman" w:hAnsi="Times New Roman" w:cs="Times New Roman"/>
          <w:sz w:val="24"/>
          <w:szCs w:val="24"/>
        </w:rPr>
        <w:t>文化投资合伙企业（有限合伙）持股比例为</w:t>
      </w:r>
      <w:r w:rsidRPr="0038656B">
        <w:rPr>
          <w:rFonts w:ascii="Times New Roman" w:hAnsi="Times New Roman" w:cs="Times New Roman"/>
          <w:sz w:val="24"/>
          <w:szCs w:val="24"/>
        </w:rPr>
        <w:t>49%</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经北京市工商行政管理局石景山分局批准，由公司与</w:t>
      </w:r>
      <w:proofErr w:type="gramStart"/>
      <w:r w:rsidRPr="0038656B">
        <w:rPr>
          <w:rFonts w:ascii="Times New Roman" w:hAnsi="Times New Roman" w:cs="Times New Roman"/>
          <w:sz w:val="24"/>
          <w:szCs w:val="24"/>
        </w:rPr>
        <w:t>北京实兴腾飞</w:t>
      </w:r>
      <w:proofErr w:type="gramEnd"/>
      <w:r w:rsidRPr="0038656B">
        <w:rPr>
          <w:rFonts w:ascii="Times New Roman" w:hAnsi="Times New Roman" w:cs="Times New Roman"/>
          <w:sz w:val="24"/>
          <w:szCs w:val="24"/>
        </w:rPr>
        <w:t>置业发展公司共同出资组建北京金石融景房地产开发有限公司，于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8</w:t>
      </w:r>
      <w:r w:rsidRPr="0038656B">
        <w:rPr>
          <w:rFonts w:ascii="Times New Roman" w:hAnsi="Times New Roman" w:cs="Times New Roman"/>
          <w:sz w:val="24"/>
          <w:szCs w:val="24"/>
        </w:rPr>
        <w:t>月取得北京市工商行政管理局石景山分局换发的</w:t>
      </w:r>
      <w:r w:rsidRPr="0038656B">
        <w:rPr>
          <w:rFonts w:ascii="Times New Roman" w:hAnsi="Times New Roman" w:cs="Times New Roman"/>
          <w:sz w:val="24"/>
          <w:szCs w:val="24"/>
        </w:rPr>
        <w:t>110107016203062</w:t>
      </w:r>
      <w:r w:rsidRPr="0038656B">
        <w:rPr>
          <w:rFonts w:ascii="Times New Roman" w:hAnsi="Times New Roman" w:cs="Times New Roman"/>
          <w:sz w:val="24"/>
          <w:szCs w:val="24"/>
        </w:rPr>
        <w:t>号《企业法人营业执照》，注册资本为</w:t>
      </w:r>
      <w:r w:rsidRPr="0038656B">
        <w:rPr>
          <w:rFonts w:ascii="Times New Roman" w:hAnsi="Times New Roman" w:cs="Times New Roman"/>
          <w:sz w:val="24"/>
          <w:szCs w:val="24"/>
        </w:rPr>
        <w:t>100,000</w:t>
      </w:r>
      <w:r w:rsidRPr="0038656B">
        <w:rPr>
          <w:rFonts w:ascii="Times New Roman" w:hAnsi="Times New Roman" w:cs="Times New Roman"/>
          <w:sz w:val="24"/>
          <w:szCs w:val="24"/>
        </w:rPr>
        <w:t>万元，实收资本为</w:t>
      </w:r>
      <w:r w:rsidRPr="0038656B">
        <w:rPr>
          <w:rFonts w:ascii="Times New Roman" w:hAnsi="Times New Roman" w:cs="Times New Roman"/>
          <w:sz w:val="24"/>
          <w:szCs w:val="24"/>
        </w:rPr>
        <w:t>100,000</w:t>
      </w:r>
      <w:r w:rsidRPr="0038656B">
        <w:rPr>
          <w:rFonts w:ascii="Times New Roman" w:hAnsi="Times New Roman" w:cs="Times New Roman"/>
          <w:sz w:val="24"/>
          <w:szCs w:val="24"/>
        </w:rPr>
        <w:t>万元，其中</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80%</w:t>
      </w:r>
      <w:r w:rsidRPr="0038656B">
        <w:rPr>
          <w:rFonts w:ascii="Times New Roman" w:hAnsi="Times New Roman" w:cs="Times New Roman"/>
          <w:sz w:val="24"/>
          <w:szCs w:val="24"/>
        </w:rPr>
        <w:t>，</w:t>
      </w:r>
      <w:proofErr w:type="gramStart"/>
      <w:r w:rsidRPr="0038656B">
        <w:rPr>
          <w:rFonts w:ascii="Times New Roman" w:hAnsi="Times New Roman" w:cs="Times New Roman"/>
          <w:sz w:val="24"/>
          <w:szCs w:val="24"/>
        </w:rPr>
        <w:t>北京实兴腾飞</w:t>
      </w:r>
      <w:proofErr w:type="gramEnd"/>
      <w:r w:rsidRPr="0038656B">
        <w:rPr>
          <w:rFonts w:ascii="Times New Roman" w:hAnsi="Times New Roman" w:cs="Times New Roman"/>
          <w:sz w:val="24"/>
          <w:szCs w:val="24"/>
        </w:rPr>
        <w:t>置业发展公司持股比例为</w:t>
      </w:r>
      <w:r w:rsidRPr="0038656B">
        <w:rPr>
          <w:rFonts w:ascii="Times New Roman" w:hAnsi="Times New Roman" w:cs="Times New Roman"/>
          <w:sz w:val="24"/>
          <w:szCs w:val="24"/>
        </w:rPr>
        <w:t>20%</w:t>
      </w:r>
      <w:r w:rsidRPr="0038656B">
        <w:rPr>
          <w:rFonts w:ascii="Times New Roman" w:hAnsi="Times New Roman" w:cs="Times New Roman"/>
          <w:sz w:val="24"/>
          <w:szCs w:val="24"/>
        </w:rPr>
        <w:t>。</w:t>
      </w:r>
    </w:p>
    <w:p w:rsidR="0038656B" w:rsidRPr="0038656B" w:rsidRDefault="0038656B" w:rsidP="002B3EDF">
      <w:pPr>
        <w:autoSpaceDE w:val="0"/>
        <w:autoSpaceDN w:val="0"/>
        <w:adjustRightInd w:val="0"/>
        <w:spacing w:line="360" w:lineRule="auto"/>
        <w:ind w:firstLineChars="200" w:firstLine="480"/>
        <w:rPr>
          <w:rFonts w:ascii="Times New Roman" w:hAnsi="Times New Roman" w:cs="Times New Roman"/>
          <w:sz w:val="24"/>
          <w:szCs w:val="24"/>
        </w:rPr>
      </w:pPr>
      <w:r w:rsidRPr="0038656B">
        <w:rPr>
          <w:rFonts w:ascii="Times New Roman" w:hAnsi="Times New Roman" w:cs="Times New Roman"/>
          <w:sz w:val="24"/>
          <w:szCs w:val="24"/>
        </w:rPr>
        <w:t>公司本期向北京市慕田峪长城旅游服务有限公司以现金出资</w:t>
      </w:r>
      <w:r w:rsidRPr="0038656B">
        <w:rPr>
          <w:rFonts w:ascii="Times New Roman" w:hAnsi="Times New Roman" w:cs="Times New Roman"/>
          <w:sz w:val="24"/>
          <w:szCs w:val="24"/>
        </w:rPr>
        <w:t>14,184.64</w:t>
      </w:r>
      <w:r w:rsidRPr="0038656B">
        <w:rPr>
          <w:rFonts w:ascii="Times New Roman" w:hAnsi="Times New Roman" w:cs="Times New Roman"/>
          <w:sz w:val="24"/>
          <w:szCs w:val="24"/>
        </w:rPr>
        <w:t>万元，于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月取得北京市工商行政管理局怀柔分局换发的</w:t>
      </w:r>
      <w:r w:rsidRPr="0038656B">
        <w:rPr>
          <w:rFonts w:ascii="Times New Roman" w:hAnsi="Times New Roman" w:cs="Times New Roman"/>
          <w:sz w:val="24"/>
          <w:szCs w:val="24"/>
        </w:rPr>
        <w:t>110116008705097</w:t>
      </w:r>
      <w:r w:rsidRPr="0038656B">
        <w:rPr>
          <w:rFonts w:ascii="Times New Roman" w:hAnsi="Times New Roman" w:cs="Times New Roman"/>
          <w:sz w:val="24"/>
          <w:szCs w:val="24"/>
        </w:rPr>
        <w:t>号《企业法人营业执照》，增资后注册资本由</w:t>
      </w:r>
      <w:r w:rsidRPr="0038656B">
        <w:rPr>
          <w:rFonts w:ascii="Times New Roman" w:hAnsi="Times New Roman" w:cs="Times New Roman"/>
          <w:sz w:val="24"/>
          <w:szCs w:val="24"/>
        </w:rPr>
        <w:t>6,000</w:t>
      </w:r>
      <w:r w:rsidRPr="0038656B">
        <w:rPr>
          <w:rFonts w:ascii="Times New Roman" w:hAnsi="Times New Roman" w:cs="Times New Roman"/>
          <w:sz w:val="24"/>
          <w:szCs w:val="24"/>
        </w:rPr>
        <w:t>万元增加至</w:t>
      </w:r>
      <w:r w:rsidRPr="0038656B">
        <w:rPr>
          <w:rFonts w:ascii="Times New Roman" w:hAnsi="Times New Roman" w:cs="Times New Roman"/>
          <w:sz w:val="24"/>
          <w:szCs w:val="24"/>
        </w:rPr>
        <w:t>20,000</w:t>
      </w:r>
      <w:r w:rsidRPr="0038656B">
        <w:rPr>
          <w:rFonts w:ascii="Times New Roman" w:hAnsi="Times New Roman" w:cs="Times New Roman"/>
          <w:sz w:val="24"/>
          <w:szCs w:val="24"/>
        </w:rPr>
        <w:t>万元，实收资本</w:t>
      </w:r>
      <w:r w:rsidRPr="0038656B">
        <w:rPr>
          <w:rFonts w:ascii="Times New Roman" w:hAnsi="Times New Roman" w:cs="Times New Roman"/>
          <w:sz w:val="24"/>
          <w:szCs w:val="24"/>
        </w:rPr>
        <w:t>20,000</w:t>
      </w:r>
      <w:r w:rsidRPr="0038656B">
        <w:rPr>
          <w:rFonts w:ascii="Times New Roman" w:hAnsi="Times New Roman" w:cs="Times New Roman"/>
          <w:sz w:val="24"/>
          <w:szCs w:val="24"/>
        </w:rPr>
        <w:t>万元，股东由</w:t>
      </w:r>
      <w:r w:rsidRPr="0038656B">
        <w:rPr>
          <w:rFonts w:ascii="Times New Roman" w:hAnsi="Times New Roman" w:cs="Times New Roman"/>
          <w:sz w:val="24"/>
          <w:szCs w:val="24"/>
        </w:rPr>
        <w:t>2</w:t>
      </w:r>
      <w:r w:rsidRPr="0038656B">
        <w:rPr>
          <w:rFonts w:ascii="Times New Roman" w:hAnsi="Times New Roman" w:cs="Times New Roman"/>
          <w:sz w:val="24"/>
          <w:szCs w:val="24"/>
        </w:rPr>
        <w:t>名增加为</w:t>
      </w:r>
      <w:r w:rsidRPr="0038656B">
        <w:rPr>
          <w:rFonts w:ascii="Times New Roman" w:hAnsi="Times New Roman" w:cs="Times New Roman"/>
          <w:sz w:val="24"/>
          <w:szCs w:val="24"/>
        </w:rPr>
        <w:t>3</w:t>
      </w:r>
      <w:r w:rsidRPr="0038656B">
        <w:rPr>
          <w:rFonts w:ascii="Times New Roman" w:hAnsi="Times New Roman" w:cs="Times New Roman"/>
          <w:sz w:val="24"/>
          <w:szCs w:val="24"/>
        </w:rPr>
        <w:t>名，其中</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70%,</w:t>
      </w:r>
      <w:r w:rsidRPr="0038656B">
        <w:rPr>
          <w:rFonts w:ascii="Times New Roman" w:hAnsi="Times New Roman" w:cs="Times New Roman"/>
          <w:sz w:val="24"/>
          <w:szCs w:val="24"/>
        </w:rPr>
        <w:t>北京怀胜城市建设开发有限公司持股比例为</w:t>
      </w:r>
      <w:r w:rsidRPr="0038656B">
        <w:rPr>
          <w:rFonts w:ascii="Times New Roman" w:hAnsi="Times New Roman" w:cs="Times New Roman"/>
          <w:sz w:val="24"/>
          <w:szCs w:val="24"/>
        </w:rPr>
        <w:t>15.5%</w:t>
      </w:r>
      <w:r w:rsidRPr="0038656B">
        <w:rPr>
          <w:rFonts w:ascii="Times New Roman" w:hAnsi="Times New Roman" w:cs="Times New Roman"/>
          <w:sz w:val="24"/>
          <w:szCs w:val="24"/>
        </w:rPr>
        <w:t>，北京市怀柔国有资产经营公司持股比例为</w:t>
      </w:r>
      <w:r w:rsidRPr="0038656B">
        <w:rPr>
          <w:rFonts w:ascii="Times New Roman" w:hAnsi="Times New Roman" w:cs="Times New Roman"/>
          <w:sz w:val="24"/>
          <w:szCs w:val="24"/>
        </w:rPr>
        <w:t>14.5%</w:t>
      </w:r>
      <w:r w:rsidRPr="0038656B">
        <w:rPr>
          <w:rFonts w:ascii="Times New Roman" w:hAnsi="Times New Roman" w:cs="Times New Roman"/>
          <w:sz w:val="24"/>
          <w:szCs w:val="24"/>
        </w:rPr>
        <w:t>。</w:t>
      </w:r>
    </w:p>
    <w:p w:rsidR="0038656B" w:rsidRPr="0038656B" w:rsidRDefault="00267780" w:rsidP="000949BF">
      <w:pPr>
        <w:autoSpaceDE w:val="0"/>
        <w:autoSpaceDN w:val="0"/>
        <w:adjustRightIn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007537E9">
        <w:rPr>
          <w:rFonts w:ascii="Times New Roman" w:hAnsi="Times New Roman" w:cs="Times New Roman"/>
          <w:sz w:val="24"/>
          <w:szCs w:val="24"/>
        </w:rPr>
        <w:t>本年</w:t>
      </w:r>
      <w:r w:rsidR="0038656B" w:rsidRPr="0038656B">
        <w:rPr>
          <w:rFonts w:ascii="Times New Roman" w:hAnsi="Times New Roman" w:cs="Times New Roman"/>
          <w:sz w:val="24"/>
          <w:szCs w:val="24"/>
        </w:rPr>
        <w:t>公司增加</w:t>
      </w:r>
      <w:r w:rsidR="0038656B" w:rsidRPr="0038656B">
        <w:rPr>
          <w:rFonts w:ascii="Times New Roman" w:hAnsi="Times New Roman" w:cs="Times New Roman"/>
          <w:sz w:val="24"/>
          <w:szCs w:val="24"/>
        </w:rPr>
        <w:t>4</w:t>
      </w:r>
      <w:r w:rsidR="0038656B" w:rsidRPr="0038656B">
        <w:rPr>
          <w:rFonts w:ascii="Times New Roman" w:hAnsi="Times New Roman" w:cs="Times New Roman"/>
          <w:sz w:val="24"/>
          <w:szCs w:val="24"/>
        </w:rPr>
        <w:t>家三级子公司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经天津市工商行政管理</w:t>
      </w:r>
      <w:proofErr w:type="gramStart"/>
      <w:r w:rsidRPr="0038656B">
        <w:rPr>
          <w:rFonts w:ascii="Times New Roman" w:hAnsi="Times New Roman" w:cs="Times New Roman"/>
          <w:sz w:val="24"/>
          <w:szCs w:val="24"/>
        </w:rPr>
        <w:t>局和平</w:t>
      </w:r>
      <w:proofErr w:type="gramEnd"/>
      <w:r w:rsidRPr="0038656B">
        <w:rPr>
          <w:rFonts w:ascii="Times New Roman" w:hAnsi="Times New Roman" w:cs="Times New Roman"/>
          <w:sz w:val="24"/>
          <w:szCs w:val="24"/>
        </w:rPr>
        <w:t>分局批准，由公司全资子公司北京金融街购物中心有限公司出资设立金融街购物中心（天津）有限公司，于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3</w:t>
      </w:r>
      <w:r w:rsidRPr="0038656B">
        <w:rPr>
          <w:rFonts w:ascii="Times New Roman" w:hAnsi="Times New Roman" w:cs="Times New Roman"/>
          <w:sz w:val="24"/>
          <w:szCs w:val="24"/>
        </w:rPr>
        <w:t>月取得天津市工商行政管理</w:t>
      </w:r>
      <w:proofErr w:type="gramStart"/>
      <w:r w:rsidRPr="0038656B">
        <w:rPr>
          <w:rFonts w:ascii="Times New Roman" w:hAnsi="Times New Roman" w:cs="Times New Roman"/>
          <w:sz w:val="24"/>
          <w:szCs w:val="24"/>
        </w:rPr>
        <w:t>局和平</w:t>
      </w:r>
      <w:proofErr w:type="gramEnd"/>
      <w:r w:rsidRPr="0038656B">
        <w:rPr>
          <w:rFonts w:ascii="Times New Roman" w:hAnsi="Times New Roman" w:cs="Times New Roman"/>
          <w:sz w:val="24"/>
          <w:szCs w:val="24"/>
        </w:rPr>
        <w:t>分局换发的</w:t>
      </w:r>
      <w:r w:rsidRPr="0038656B">
        <w:rPr>
          <w:rFonts w:ascii="Times New Roman" w:hAnsi="Times New Roman" w:cs="Times New Roman"/>
          <w:sz w:val="24"/>
          <w:szCs w:val="24"/>
        </w:rPr>
        <w:t>120101000121844</w:t>
      </w:r>
      <w:r w:rsidRPr="0038656B">
        <w:rPr>
          <w:rFonts w:ascii="Times New Roman" w:hAnsi="Times New Roman" w:cs="Times New Roman"/>
          <w:sz w:val="24"/>
          <w:szCs w:val="24"/>
        </w:rPr>
        <w:t>号《企业法人营业执照》，</w:t>
      </w:r>
      <w:r w:rsidRPr="0038656B">
        <w:rPr>
          <w:rFonts w:ascii="Times New Roman" w:hAnsi="Times New Roman" w:cs="Times New Roman"/>
          <w:sz w:val="24"/>
          <w:szCs w:val="24"/>
        </w:rPr>
        <w:lastRenderedPageBreak/>
        <w:t>金融街购物中心（天津）有限公司注册资本为</w:t>
      </w:r>
      <w:r w:rsidRPr="0038656B">
        <w:rPr>
          <w:rFonts w:ascii="Times New Roman" w:hAnsi="Times New Roman" w:cs="Times New Roman"/>
          <w:sz w:val="24"/>
          <w:szCs w:val="24"/>
        </w:rPr>
        <w:t>1,000</w:t>
      </w:r>
      <w:r w:rsidRPr="0038656B">
        <w:rPr>
          <w:rFonts w:ascii="Times New Roman" w:hAnsi="Times New Roman" w:cs="Times New Roman"/>
          <w:sz w:val="24"/>
          <w:szCs w:val="24"/>
        </w:rPr>
        <w:t>万元，实收资本为</w:t>
      </w:r>
      <w:r w:rsidRPr="0038656B">
        <w:rPr>
          <w:rFonts w:ascii="Times New Roman" w:hAnsi="Times New Roman" w:cs="Times New Roman"/>
          <w:sz w:val="24"/>
          <w:szCs w:val="24"/>
        </w:rPr>
        <w:t>1,000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经北京市工商行政管理局西城分局批准，由全资子公司北京金融街购物中心有限公司出资设立金融街广安（北京）置业有限公司，于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月取得北京市工商行政管理局西城分局换发的</w:t>
      </w:r>
      <w:r w:rsidRPr="0038656B">
        <w:rPr>
          <w:rFonts w:ascii="Times New Roman" w:hAnsi="Times New Roman" w:cs="Times New Roman"/>
          <w:sz w:val="24"/>
          <w:szCs w:val="24"/>
        </w:rPr>
        <w:t>110000016598082</w:t>
      </w:r>
      <w:r w:rsidRPr="0038656B">
        <w:rPr>
          <w:rFonts w:ascii="Times New Roman" w:hAnsi="Times New Roman" w:cs="Times New Roman"/>
          <w:sz w:val="24"/>
          <w:szCs w:val="24"/>
        </w:rPr>
        <w:t>号《企业法人营业执照》，金融街广安（北京）置业有限公司注册资本为</w:t>
      </w:r>
      <w:r w:rsidRPr="0038656B">
        <w:rPr>
          <w:rFonts w:ascii="Times New Roman" w:hAnsi="Times New Roman" w:cs="Times New Roman"/>
          <w:sz w:val="24"/>
          <w:szCs w:val="24"/>
        </w:rPr>
        <w:t>10,000</w:t>
      </w:r>
      <w:r w:rsidRPr="0038656B">
        <w:rPr>
          <w:rFonts w:ascii="Times New Roman" w:hAnsi="Times New Roman" w:cs="Times New Roman"/>
          <w:sz w:val="24"/>
          <w:szCs w:val="24"/>
        </w:rPr>
        <w:t>万元，实收资本</w:t>
      </w:r>
      <w:r w:rsidRPr="0038656B">
        <w:rPr>
          <w:rFonts w:ascii="Times New Roman" w:hAnsi="Times New Roman" w:cs="Times New Roman"/>
          <w:sz w:val="24"/>
          <w:szCs w:val="24"/>
        </w:rPr>
        <w:t>10,000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经重庆市工商行政管理局九龙坡分局批准，由全资子公司金融街重庆置业有限公司出资设立的金融街重庆融玺置业有限公司，于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月取得重庆是工商行政管理局九龙坡分局换发的</w:t>
      </w:r>
      <w:r w:rsidRPr="0038656B">
        <w:rPr>
          <w:rFonts w:ascii="Times New Roman" w:hAnsi="Times New Roman" w:cs="Times New Roman"/>
          <w:sz w:val="24"/>
          <w:szCs w:val="24"/>
        </w:rPr>
        <w:t>500107000393733</w:t>
      </w:r>
      <w:r w:rsidRPr="0038656B">
        <w:rPr>
          <w:rFonts w:ascii="Times New Roman" w:hAnsi="Times New Roman" w:cs="Times New Roman"/>
          <w:sz w:val="24"/>
          <w:szCs w:val="24"/>
        </w:rPr>
        <w:t>号《企业法人营业执照》，金融街重庆融玺置业有限公司注册资本为</w:t>
      </w:r>
      <w:r w:rsidRPr="0038656B">
        <w:rPr>
          <w:rFonts w:ascii="Times New Roman" w:hAnsi="Times New Roman" w:cs="Times New Roman"/>
          <w:sz w:val="24"/>
          <w:szCs w:val="24"/>
        </w:rPr>
        <w:t>5,000</w:t>
      </w:r>
      <w:r w:rsidRPr="0038656B">
        <w:rPr>
          <w:rFonts w:ascii="Times New Roman" w:hAnsi="Times New Roman" w:cs="Times New Roman"/>
          <w:sz w:val="24"/>
          <w:szCs w:val="24"/>
        </w:rPr>
        <w:t>万元，实收资本</w:t>
      </w:r>
      <w:r w:rsidRPr="0038656B">
        <w:rPr>
          <w:rFonts w:ascii="Times New Roman" w:hAnsi="Times New Roman" w:cs="Times New Roman"/>
          <w:sz w:val="24"/>
          <w:szCs w:val="24"/>
        </w:rPr>
        <w:t>5,000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北京市慕田峪长城缆车服务有限公司系北京市慕田峪长城旅游服务有限公司二级子公司，公司于</w:t>
      </w:r>
      <w:r w:rsidRPr="0038656B">
        <w:rPr>
          <w:rFonts w:ascii="Times New Roman" w:hAnsi="Times New Roman" w:cs="Times New Roman"/>
          <w:sz w:val="24"/>
          <w:szCs w:val="24"/>
        </w:rPr>
        <w:t>2013</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w:t>
      </w:r>
      <w:r w:rsidRPr="0038656B">
        <w:rPr>
          <w:rFonts w:ascii="Times New Roman" w:hAnsi="Times New Roman" w:cs="Times New Roman"/>
          <w:sz w:val="24"/>
          <w:szCs w:val="24"/>
        </w:rPr>
        <w:t>31</w:t>
      </w:r>
      <w:r w:rsidRPr="0038656B">
        <w:rPr>
          <w:rFonts w:ascii="Times New Roman" w:hAnsi="Times New Roman" w:cs="Times New Roman"/>
          <w:sz w:val="24"/>
          <w:szCs w:val="24"/>
        </w:rPr>
        <w:t>日将其纳入合并范围。</w:t>
      </w:r>
    </w:p>
    <w:p w:rsidR="0038656B" w:rsidRPr="0038656B" w:rsidRDefault="00267780" w:rsidP="000949BF">
      <w:pPr>
        <w:autoSpaceDE w:val="0"/>
        <w:autoSpaceDN w:val="0"/>
        <w:adjustRightInd w:val="0"/>
        <w:spacing w:line="360" w:lineRule="auto"/>
        <w:ind w:firstLineChars="200" w:firstLine="482"/>
        <w:jc w:val="left"/>
        <w:outlineLvl w:val="0"/>
        <w:rPr>
          <w:rFonts w:ascii="Times New Roman" w:hAnsi="Times New Roman" w:cs="Times New Roman"/>
          <w:b/>
          <w:sz w:val="24"/>
          <w:szCs w:val="24"/>
        </w:rPr>
      </w:pPr>
      <w:r>
        <w:rPr>
          <w:rFonts w:ascii="Times New Roman" w:hAnsi="Times New Roman" w:cs="Times New Roman" w:hint="eastAsia"/>
          <w:b/>
          <w:sz w:val="24"/>
          <w:szCs w:val="24"/>
        </w:rPr>
        <w:t>3</w:t>
      </w:r>
      <w:r>
        <w:rPr>
          <w:rFonts w:ascii="Times New Roman" w:hAnsi="Times New Roman" w:cs="Times New Roman" w:hint="eastAsia"/>
          <w:b/>
          <w:sz w:val="24"/>
          <w:szCs w:val="24"/>
        </w:rPr>
        <w:t>、</w:t>
      </w:r>
      <w:r w:rsidR="0038656B" w:rsidRPr="0038656B">
        <w:rPr>
          <w:rFonts w:ascii="Times New Roman" w:hAnsi="Times New Roman" w:cs="Times New Roman"/>
          <w:b/>
          <w:sz w:val="24"/>
          <w:szCs w:val="24"/>
        </w:rPr>
        <w:t>2014</w:t>
      </w:r>
      <w:r w:rsidR="0038656B" w:rsidRPr="0038656B">
        <w:rPr>
          <w:rFonts w:ascii="Times New Roman" w:hAnsi="Times New Roman" w:cs="Times New Roman"/>
          <w:b/>
          <w:sz w:val="24"/>
          <w:szCs w:val="24"/>
        </w:rPr>
        <w:t>年度合并报表范围的变化</w:t>
      </w:r>
    </w:p>
    <w:p w:rsidR="0038656B" w:rsidRPr="0038656B" w:rsidRDefault="00267780" w:rsidP="0038656B">
      <w:pPr>
        <w:autoSpaceDE w:val="0"/>
        <w:autoSpaceDN w:val="0"/>
        <w:adjustRightIn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w:t>
      </w:r>
      <w:r w:rsidR="007537E9">
        <w:rPr>
          <w:rFonts w:ascii="Times New Roman" w:hAnsi="Times New Roman" w:cs="Times New Roman" w:hint="eastAsia"/>
          <w:sz w:val="24"/>
          <w:szCs w:val="24"/>
        </w:rPr>
        <w:t>本年</w:t>
      </w:r>
      <w:r w:rsidR="0038656B" w:rsidRPr="0038656B">
        <w:rPr>
          <w:rFonts w:ascii="Times New Roman" w:hAnsi="Times New Roman" w:cs="Times New Roman"/>
          <w:sz w:val="24"/>
          <w:szCs w:val="24"/>
        </w:rPr>
        <w:t>公司增加</w:t>
      </w:r>
      <w:r w:rsidR="0038656B" w:rsidRPr="0038656B">
        <w:rPr>
          <w:rFonts w:ascii="Times New Roman" w:hAnsi="Times New Roman" w:cs="Times New Roman"/>
          <w:sz w:val="24"/>
          <w:szCs w:val="24"/>
        </w:rPr>
        <w:t>6</w:t>
      </w:r>
      <w:r w:rsidR="0038656B" w:rsidRPr="0038656B">
        <w:rPr>
          <w:rFonts w:ascii="Times New Roman" w:hAnsi="Times New Roman" w:cs="Times New Roman"/>
          <w:sz w:val="24"/>
          <w:szCs w:val="24"/>
        </w:rPr>
        <w:t>家二级子公司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经北京市工商行政管理局西城分局批准，公司出资设立金融</w:t>
      </w:r>
      <w:proofErr w:type="gramStart"/>
      <w:r w:rsidRPr="0038656B">
        <w:rPr>
          <w:rFonts w:ascii="Times New Roman" w:hAnsi="Times New Roman" w:cs="Times New Roman"/>
          <w:sz w:val="24"/>
          <w:szCs w:val="24"/>
        </w:rPr>
        <w:t>街融辰</w:t>
      </w:r>
      <w:proofErr w:type="gramEnd"/>
      <w:r w:rsidRPr="0038656B">
        <w:rPr>
          <w:rFonts w:ascii="Times New Roman" w:hAnsi="Times New Roman" w:cs="Times New Roman"/>
          <w:sz w:val="24"/>
          <w:szCs w:val="24"/>
        </w:rPr>
        <w:t>（北京）置业有限公司，于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w:t>
      </w:r>
      <w:r w:rsidRPr="0038656B">
        <w:rPr>
          <w:rFonts w:ascii="Times New Roman" w:hAnsi="Times New Roman" w:cs="Times New Roman"/>
          <w:sz w:val="24"/>
          <w:szCs w:val="24"/>
        </w:rPr>
        <w:t>月取得北京市工商行政管理局西城分局换发的</w:t>
      </w:r>
      <w:r w:rsidRPr="0038656B">
        <w:rPr>
          <w:rFonts w:ascii="Times New Roman" w:hAnsi="Times New Roman" w:cs="Times New Roman"/>
          <w:sz w:val="24"/>
          <w:szCs w:val="24"/>
        </w:rPr>
        <w:t>110102016740983</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3,000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3,000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公司本期在香港设立金融街控股（香港）有限公司，于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w:t>
      </w:r>
      <w:r w:rsidRPr="0038656B">
        <w:rPr>
          <w:rFonts w:ascii="Times New Roman" w:hAnsi="Times New Roman" w:cs="Times New Roman"/>
          <w:sz w:val="24"/>
          <w:szCs w:val="24"/>
        </w:rPr>
        <w:t>月取得香港公司注册处颁发的</w:t>
      </w:r>
      <w:r w:rsidRPr="0038656B">
        <w:rPr>
          <w:rFonts w:ascii="Times New Roman" w:hAnsi="Times New Roman" w:cs="Times New Roman"/>
          <w:sz w:val="24"/>
          <w:szCs w:val="24"/>
        </w:rPr>
        <w:t>2029777</w:t>
      </w:r>
      <w:r w:rsidRPr="0038656B">
        <w:rPr>
          <w:rFonts w:ascii="Times New Roman" w:hAnsi="Times New Roman" w:cs="Times New Roman"/>
          <w:sz w:val="24"/>
          <w:szCs w:val="24"/>
        </w:rPr>
        <w:t>号公司注册证书，注册资本为</w:t>
      </w:r>
      <w:r w:rsidRPr="0038656B">
        <w:rPr>
          <w:rFonts w:ascii="Times New Roman" w:hAnsi="Times New Roman" w:cs="Times New Roman"/>
          <w:sz w:val="24"/>
          <w:szCs w:val="24"/>
        </w:rPr>
        <w:t>980</w:t>
      </w:r>
      <w:r w:rsidRPr="0038656B">
        <w:rPr>
          <w:rFonts w:ascii="Times New Roman" w:hAnsi="Times New Roman" w:cs="Times New Roman"/>
          <w:sz w:val="24"/>
          <w:szCs w:val="24"/>
        </w:rPr>
        <w:t>万美元，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经广州市工商行政管理局</w:t>
      </w:r>
      <w:proofErr w:type="gramStart"/>
      <w:r w:rsidRPr="0038656B">
        <w:rPr>
          <w:rFonts w:ascii="Times New Roman" w:hAnsi="Times New Roman" w:cs="Times New Roman"/>
          <w:sz w:val="24"/>
          <w:szCs w:val="24"/>
        </w:rPr>
        <w:t>荔湾分局</w:t>
      </w:r>
      <w:proofErr w:type="gramEnd"/>
      <w:r w:rsidRPr="0038656B">
        <w:rPr>
          <w:rFonts w:ascii="Times New Roman" w:hAnsi="Times New Roman" w:cs="Times New Roman"/>
          <w:sz w:val="24"/>
          <w:szCs w:val="24"/>
        </w:rPr>
        <w:t>批准，公司出资设立金融街广州置业有限公司，于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3</w:t>
      </w:r>
      <w:r w:rsidRPr="0038656B">
        <w:rPr>
          <w:rFonts w:ascii="Times New Roman" w:hAnsi="Times New Roman" w:cs="Times New Roman"/>
          <w:sz w:val="24"/>
          <w:szCs w:val="24"/>
        </w:rPr>
        <w:t>月取得广州市工商行政管理局</w:t>
      </w:r>
      <w:proofErr w:type="gramStart"/>
      <w:r w:rsidRPr="0038656B">
        <w:rPr>
          <w:rFonts w:ascii="Times New Roman" w:hAnsi="Times New Roman" w:cs="Times New Roman"/>
          <w:sz w:val="24"/>
          <w:szCs w:val="24"/>
        </w:rPr>
        <w:t>荔湾分局</w:t>
      </w:r>
      <w:proofErr w:type="gramEnd"/>
      <w:r w:rsidRPr="0038656B">
        <w:rPr>
          <w:rFonts w:ascii="Times New Roman" w:hAnsi="Times New Roman" w:cs="Times New Roman"/>
          <w:sz w:val="24"/>
          <w:szCs w:val="24"/>
        </w:rPr>
        <w:t>换发的</w:t>
      </w:r>
      <w:r w:rsidRPr="0038656B">
        <w:rPr>
          <w:rFonts w:ascii="Times New Roman" w:hAnsi="Times New Roman" w:cs="Times New Roman"/>
          <w:sz w:val="24"/>
          <w:szCs w:val="24"/>
        </w:rPr>
        <w:t>440103000194949</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100,000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100,000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经上海市工商行政管理</w:t>
      </w:r>
      <w:proofErr w:type="gramStart"/>
      <w:r w:rsidRPr="0038656B">
        <w:rPr>
          <w:rFonts w:ascii="Times New Roman" w:hAnsi="Times New Roman" w:cs="Times New Roman"/>
          <w:sz w:val="24"/>
          <w:szCs w:val="24"/>
        </w:rPr>
        <w:t>局自由</w:t>
      </w:r>
      <w:proofErr w:type="gramEnd"/>
      <w:r w:rsidRPr="0038656B">
        <w:rPr>
          <w:rFonts w:ascii="Times New Roman" w:hAnsi="Times New Roman" w:cs="Times New Roman"/>
          <w:sz w:val="24"/>
          <w:szCs w:val="24"/>
        </w:rPr>
        <w:t>贸易试验区分局批准，公司出资设立金融街（上海）投资有限公司，于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4</w:t>
      </w:r>
      <w:r w:rsidRPr="0038656B">
        <w:rPr>
          <w:rFonts w:ascii="Times New Roman" w:hAnsi="Times New Roman" w:cs="Times New Roman"/>
          <w:sz w:val="24"/>
          <w:szCs w:val="24"/>
        </w:rPr>
        <w:t>月取得上海市工商行政管理</w:t>
      </w:r>
      <w:proofErr w:type="gramStart"/>
      <w:r w:rsidRPr="0038656B">
        <w:rPr>
          <w:rFonts w:ascii="Times New Roman" w:hAnsi="Times New Roman" w:cs="Times New Roman"/>
          <w:sz w:val="24"/>
          <w:szCs w:val="24"/>
        </w:rPr>
        <w:t>局自由</w:t>
      </w:r>
      <w:proofErr w:type="gramEnd"/>
      <w:r w:rsidRPr="0038656B">
        <w:rPr>
          <w:rFonts w:ascii="Times New Roman" w:hAnsi="Times New Roman" w:cs="Times New Roman"/>
          <w:sz w:val="24"/>
          <w:szCs w:val="24"/>
        </w:rPr>
        <w:t>贸易试验</w:t>
      </w:r>
      <w:r w:rsidRPr="0038656B">
        <w:rPr>
          <w:rFonts w:ascii="Times New Roman" w:hAnsi="Times New Roman" w:cs="Times New Roman"/>
          <w:sz w:val="24"/>
          <w:szCs w:val="24"/>
        </w:rPr>
        <w:lastRenderedPageBreak/>
        <w:t>区分局换发的</w:t>
      </w:r>
      <w:r w:rsidRPr="0038656B">
        <w:rPr>
          <w:rFonts w:ascii="Times New Roman" w:hAnsi="Times New Roman" w:cs="Times New Roman"/>
          <w:sz w:val="24"/>
          <w:szCs w:val="24"/>
        </w:rPr>
        <w:t>310141000073280</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1,000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1,000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经广州市工商行政管理局萝岗分局批准，公司出资设立广州金融</w:t>
      </w:r>
      <w:proofErr w:type="gramStart"/>
      <w:r w:rsidRPr="0038656B">
        <w:rPr>
          <w:rFonts w:ascii="Times New Roman" w:hAnsi="Times New Roman" w:cs="Times New Roman"/>
          <w:sz w:val="24"/>
          <w:szCs w:val="24"/>
        </w:rPr>
        <w:t>街融展</w:t>
      </w:r>
      <w:proofErr w:type="gramEnd"/>
      <w:r w:rsidRPr="0038656B">
        <w:rPr>
          <w:rFonts w:ascii="Times New Roman" w:hAnsi="Times New Roman" w:cs="Times New Roman"/>
          <w:sz w:val="24"/>
          <w:szCs w:val="24"/>
        </w:rPr>
        <w:t>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8</w:t>
      </w:r>
      <w:r w:rsidRPr="0038656B">
        <w:rPr>
          <w:rFonts w:ascii="Times New Roman" w:hAnsi="Times New Roman" w:cs="Times New Roman"/>
          <w:sz w:val="24"/>
          <w:szCs w:val="24"/>
        </w:rPr>
        <w:t>月取得广州市工商行政管理局萝岗分局换发的</w:t>
      </w:r>
      <w:r w:rsidRPr="0038656B">
        <w:rPr>
          <w:rFonts w:ascii="Times New Roman" w:hAnsi="Times New Roman" w:cs="Times New Roman"/>
          <w:sz w:val="24"/>
          <w:szCs w:val="24"/>
        </w:rPr>
        <w:t xml:space="preserve"> 440108000094003</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公司本期收购上海杭钢嘉杰实业有限公司</w:t>
      </w:r>
      <w:r w:rsidRPr="0038656B">
        <w:rPr>
          <w:rFonts w:ascii="Times New Roman" w:hAnsi="Times New Roman" w:cs="Times New Roman"/>
          <w:sz w:val="24"/>
          <w:szCs w:val="24"/>
        </w:rPr>
        <w:t>100%</w:t>
      </w:r>
      <w:r w:rsidRPr="0038656B">
        <w:rPr>
          <w:rFonts w:ascii="Times New Roman" w:hAnsi="Times New Roman" w:cs="Times New Roman"/>
          <w:sz w:val="24"/>
          <w:szCs w:val="24"/>
        </w:rPr>
        <w:t>股权，上海杭钢嘉杰实业有限公司于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4</w:t>
      </w:r>
      <w:r w:rsidRPr="0038656B">
        <w:rPr>
          <w:rFonts w:ascii="Times New Roman" w:hAnsi="Times New Roman" w:cs="Times New Roman"/>
          <w:sz w:val="24"/>
          <w:szCs w:val="24"/>
        </w:rPr>
        <w:t>月取得上海市工商行政管理局虹口区分局换发的</w:t>
      </w:r>
      <w:r w:rsidRPr="0038656B">
        <w:rPr>
          <w:rFonts w:ascii="Times New Roman" w:hAnsi="Times New Roman" w:cs="Times New Roman"/>
          <w:sz w:val="24"/>
          <w:szCs w:val="24"/>
        </w:rPr>
        <w:t>310109000520718</w:t>
      </w:r>
      <w:r w:rsidRPr="0038656B">
        <w:rPr>
          <w:rFonts w:ascii="Times New Roman" w:hAnsi="Times New Roman" w:cs="Times New Roman"/>
          <w:sz w:val="24"/>
          <w:szCs w:val="24"/>
        </w:rPr>
        <w:t>号《企业法人营业执照》，注册资本为</w:t>
      </w:r>
      <w:r w:rsidRPr="0038656B">
        <w:rPr>
          <w:rFonts w:ascii="Times New Roman" w:hAnsi="Times New Roman" w:cs="Times New Roman"/>
          <w:sz w:val="24"/>
          <w:szCs w:val="24"/>
        </w:rPr>
        <w:t>120,145</w:t>
      </w:r>
      <w:r w:rsidRPr="0038656B">
        <w:rPr>
          <w:rFonts w:ascii="Times New Roman" w:hAnsi="Times New Roman" w:cs="Times New Roman"/>
          <w:sz w:val="24"/>
          <w:szCs w:val="24"/>
        </w:rPr>
        <w:t>万元，实收资本</w:t>
      </w:r>
      <w:r w:rsidRPr="0038656B">
        <w:rPr>
          <w:rFonts w:ascii="Times New Roman" w:hAnsi="Times New Roman" w:cs="Times New Roman"/>
          <w:sz w:val="24"/>
          <w:szCs w:val="24"/>
        </w:rPr>
        <w:t>120,145</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267780" w:rsidP="000949BF">
      <w:pPr>
        <w:autoSpaceDE w:val="0"/>
        <w:autoSpaceDN w:val="0"/>
        <w:adjustRightIn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w:t>
      </w:r>
      <w:r w:rsidR="007537E9">
        <w:rPr>
          <w:rFonts w:ascii="Times New Roman" w:hAnsi="Times New Roman" w:cs="Times New Roman" w:hint="eastAsia"/>
          <w:sz w:val="24"/>
          <w:szCs w:val="24"/>
        </w:rPr>
        <w:t>本年</w:t>
      </w:r>
      <w:r w:rsidR="0038656B" w:rsidRPr="0038656B">
        <w:rPr>
          <w:rFonts w:ascii="Times New Roman" w:hAnsi="Times New Roman" w:cs="Times New Roman"/>
          <w:sz w:val="24"/>
          <w:szCs w:val="24"/>
        </w:rPr>
        <w:t>公司增加</w:t>
      </w:r>
      <w:r w:rsidR="0038656B" w:rsidRPr="0038656B">
        <w:rPr>
          <w:rFonts w:ascii="Times New Roman" w:hAnsi="Times New Roman" w:cs="Times New Roman"/>
          <w:sz w:val="24"/>
          <w:szCs w:val="24"/>
        </w:rPr>
        <w:t>10</w:t>
      </w:r>
      <w:r w:rsidR="0038656B" w:rsidRPr="0038656B">
        <w:rPr>
          <w:rFonts w:ascii="Times New Roman" w:hAnsi="Times New Roman" w:cs="Times New Roman"/>
          <w:sz w:val="24"/>
          <w:szCs w:val="24"/>
        </w:rPr>
        <w:t>家三级子公司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本期公司全资子公司金融街（天津）置业有限公司收购天津恒通华创置业有限公司</w:t>
      </w:r>
      <w:r w:rsidRPr="0038656B">
        <w:rPr>
          <w:rFonts w:ascii="Times New Roman" w:hAnsi="Times New Roman" w:cs="Times New Roman"/>
          <w:sz w:val="24"/>
          <w:szCs w:val="24"/>
        </w:rPr>
        <w:t>90%</w:t>
      </w:r>
      <w:r w:rsidRPr="0038656B">
        <w:rPr>
          <w:rFonts w:ascii="Times New Roman" w:hAnsi="Times New Roman" w:cs="Times New Roman"/>
          <w:sz w:val="24"/>
          <w:szCs w:val="24"/>
        </w:rPr>
        <w:t>股权，天津恒通华创置业有限公司</w:t>
      </w:r>
      <w:r w:rsidRPr="00B55BA7">
        <w:rPr>
          <w:rFonts w:ascii="Times New Roman" w:hAnsi="Times New Roman" w:cs="Times New Roman"/>
          <w:sz w:val="24"/>
          <w:szCs w:val="24"/>
        </w:rPr>
        <w:t>于</w:t>
      </w:r>
      <w:r w:rsidR="00D07843">
        <w:rPr>
          <w:rFonts w:ascii="Times New Roman" w:hAnsi="Times New Roman" w:cs="Times New Roman"/>
          <w:sz w:val="24"/>
          <w:szCs w:val="24"/>
        </w:rPr>
        <w:t>2014</w:t>
      </w:r>
      <w:r w:rsidR="00D07843">
        <w:rPr>
          <w:rFonts w:ascii="Times New Roman" w:hAnsi="Times New Roman" w:cs="Times New Roman" w:hint="eastAsia"/>
          <w:sz w:val="24"/>
          <w:szCs w:val="24"/>
        </w:rPr>
        <w:t>年</w:t>
      </w:r>
      <w:r w:rsidR="00D07843" w:rsidRPr="00D07843">
        <w:rPr>
          <w:rFonts w:ascii="Times New Roman" w:hAnsi="Times New Roman" w:cs="Times New Roman"/>
          <w:sz w:val="24"/>
          <w:szCs w:val="24"/>
        </w:rPr>
        <w:t>5</w:t>
      </w:r>
      <w:r w:rsidRPr="00B55BA7">
        <w:rPr>
          <w:rFonts w:ascii="Times New Roman" w:hAnsi="Times New Roman" w:cs="Times New Roman"/>
          <w:sz w:val="24"/>
          <w:szCs w:val="24"/>
        </w:rPr>
        <w:t>月取得天津</w:t>
      </w:r>
      <w:r w:rsidRPr="0038656B">
        <w:rPr>
          <w:rFonts w:ascii="Times New Roman" w:hAnsi="Times New Roman" w:cs="Times New Roman"/>
          <w:sz w:val="24"/>
          <w:szCs w:val="24"/>
        </w:rPr>
        <w:t>市工商行政管理局换发的</w:t>
      </w:r>
      <w:r w:rsidRPr="0038656B">
        <w:rPr>
          <w:rFonts w:ascii="Times New Roman" w:hAnsi="Times New Roman" w:cs="Times New Roman"/>
          <w:sz w:val="24"/>
          <w:szCs w:val="24"/>
        </w:rPr>
        <w:t>120193000083849</w:t>
      </w:r>
      <w:r w:rsidRPr="0038656B">
        <w:rPr>
          <w:rFonts w:ascii="Times New Roman" w:hAnsi="Times New Roman" w:cs="Times New Roman"/>
          <w:sz w:val="24"/>
          <w:szCs w:val="24"/>
        </w:rPr>
        <w:t>号《企业法人营业执照》，注册资本</w:t>
      </w:r>
      <w:r w:rsidRPr="0038656B">
        <w:rPr>
          <w:rFonts w:ascii="Times New Roman" w:hAnsi="Times New Roman" w:cs="Times New Roman"/>
          <w:sz w:val="24"/>
          <w:szCs w:val="24"/>
        </w:rPr>
        <w:t>30,000</w:t>
      </w:r>
      <w:r w:rsidRPr="0038656B">
        <w:rPr>
          <w:rFonts w:ascii="Times New Roman" w:hAnsi="Times New Roman" w:cs="Times New Roman"/>
          <w:sz w:val="24"/>
          <w:szCs w:val="24"/>
        </w:rPr>
        <w:t>万元，实收资本</w:t>
      </w:r>
      <w:r w:rsidRPr="0038656B">
        <w:rPr>
          <w:rFonts w:ascii="Times New Roman" w:hAnsi="Times New Roman" w:cs="Times New Roman"/>
          <w:sz w:val="24"/>
          <w:szCs w:val="24"/>
        </w:rPr>
        <w:t>30,000</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90%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本期公司全资子公司金融街（天津）置业有限公司收购天津紫</w:t>
      </w:r>
      <w:proofErr w:type="gramStart"/>
      <w:r w:rsidRPr="0038656B">
        <w:rPr>
          <w:rFonts w:ascii="Times New Roman" w:hAnsi="Times New Roman" w:cs="Times New Roman"/>
          <w:sz w:val="24"/>
          <w:szCs w:val="24"/>
        </w:rPr>
        <w:t>宸</w:t>
      </w:r>
      <w:proofErr w:type="gramEnd"/>
      <w:r w:rsidRPr="0038656B">
        <w:rPr>
          <w:rFonts w:ascii="Times New Roman" w:hAnsi="Times New Roman" w:cs="Times New Roman"/>
          <w:sz w:val="24"/>
          <w:szCs w:val="24"/>
        </w:rPr>
        <w:t>庄园置业有限公司</w:t>
      </w:r>
      <w:r w:rsidRPr="0038656B">
        <w:rPr>
          <w:rFonts w:ascii="Times New Roman" w:hAnsi="Times New Roman" w:cs="Times New Roman"/>
          <w:sz w:val="24"/>
          <w:szCs w:val="24"/>
        </w:rPr>
        <w:t>51%</w:t>
      </w:r>
      <w:r w:rsidRPr="0038656B">
        <w:rPr>
          <w:rFonts w:ascii="Times New Roman" w:hAnsi="Times New Roman" w:cs="Times New Roman"/>
          <w:sz w:val="24"/>
          <w:szCs w:val="24"/>
        </w:rPr>
        <w:t>股权，天津紫</w:t>
      </w:r>
      <w:proofErr w:type="gramStart"/>
      <w:r w:rsidRPr="0038656B">
        <w:rPr>
          <w:rFonts w:ascii="Times New Roman" w:hAnsi="Times New Roman" w:cs="Times New Roman"/>
          <w:sz w:val="24"/>
          <w:szCs w:val="24"/>
        </w:rPr>
        <w:t>宸</w:t>
      </w:r>
      <w:proofErr w:type="gramEnd"/>
      <w:r w:rsidRPr="0038656B">
        <w:rPr>
          <w:rFonts w:ascii="Times New Roman" w:hAnsi="Times New Roman" w:cs="Times New Roman"/>
          <w:sz w:val="24"/>
          <w:szCs w:val="24"/>
        </w:rPr>
        <w:t>庄园置业有限公司于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8</w:t>
      </w:r>
      <w:r w:rsidRPr="0038656B">
        <w:rPr>
          <w:rFonts w:ascii="Times New Roman" w:hAnsi="Times New Roman" w:cs="Times New Roman"/>
          <w:sz w:val="24"/>
          <w:szCs w:val="24"/>
        </w:rPr>
        <w:t>月取得天津市工商行政管理局东丽分局换发的</w:t>
      </w:r>
      <w:r w:rsidRPr="0038656B">
        <w:rPr>
          <w:rFonts w:ascii="Times New Roman" w:hAnsi="Times New Roman" w:cs="Times New Roman"/>
          <w:sz w:val="24"/>
          <w:szCs w:val="24"/>
        </w:rPr>
        <w:t>120110000000822</w:t>
      </w:r>
      <w:r w:rsidRPr="0038656B">
        <w:rPr>
          <w:rFonts w:ascii="Times New Roman" w:hAnsi="Times New Roman" w:cs="Times New Roman"/>
          <w:sz w:val="24"/>
          <w:szCs w:val="24"/>
        </w:rPr>
        <w:t>号《企业法人营业执照》，注册资本</w:t>
      </w:r>
      <w:r w:rsidRPr="0038656B">
        <w:rPr>
          <w:rFonts w:ascii="Times New Roman" w:hAnsi="Times New Roman" w:cs="Times New Roman"/>
          <w:sz w:val="24"/>
          <w:szCs w:val="24"/>
        </w:rPr>
        <w:t>14,585</w:t>
      </w:r>
      <w:r w:rsidRPr="0038656B">
        <w:rPr>
          <w:rFonts w:ascii="Times New Roman" w:hAnsi="Times New Roman" w:cs="Times New Roman"/>
          <w:sz w:val="24"/>
          <w:szCs w:val="24"/>
        </w:rPr>
        <w:t>万元，实收资本</w:t>
      </w:r>
      <w:r w:rsidRPr="0038656B">
        <w:rPr>
          <w:rFonts w:ascii="Times New Roman" w:hAnsi="Times New Roman" w:cs="Times New Roman"/>
          <w:sz w:val="24"/>
          <w:szCs w:val="24"/>
        </w:rPr>
        <w:t>14,585</w:t>
      </w:r>
      <w:r w:rsidRPr="0038656B">
        <w:rPr>
          <w:rFonts w:ascii="Times New Roman" w:hAnsi="Times New Roman" w:cs="Times New Roman"/>
          <w:sz w:val="24"/>
          <w:szCs w:val="24"/>
        </w:rPr>
        <w:t>万元，</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51%</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经重庆市工商行政管理局沙坪坝区分局批准，由全资子公司金融街重庆置业有限公司出资设立金融街重庆融航置业有限公司，于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7</w:t>
      </w:r>
      <w:r w:rsidRPr="0038656B">
        <w:rPr>
          <w:rFonts w:ascii="Times New Roman" w:hAnsi="Times New Roman" w:cs="Times New Roman"/>
          <w:sz w:val="24"/>
          <w:szCs w:val="24"/>
        </w:rPr>
        <w:t>月取得重庆市工商行政管理局沙坪坝区分局换发的</w:t>
      </w:r>
      <w:r w:rsidRPr="0038656B">
        <w:rPr>
          <w:rFonts w:ascii="Times New Roman" w:hAnsi="Times New Roman" w:cs="Times New Roman"/>
          <w:sz w:val="24"/>
          <w:szCs w:val="24"/>
        </w:rPr>
        <w:t>500106002950980</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万元，金融街重庆置业有限公司持股比例为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经北京市工商行政管理局怀柔分局批准，由非全资子公司北京市慕田峪长城旅游服务有限公司出资设立北京慕田峪兴旺商品市场有限公司，于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7</w:t>
      </w:r>
      <w:r w:rsidRPr="0038656B">
        <w:rPr>
          <w:rFonts w:ascii="Times New Roman" w:hAnsi="Times New Roman" w:cs="Times New Roman"/>
          <w:sz w:val="24"/>
          <w:szCs w:val="24"/>
        </w:rPr>
        <w:t>月取得北京市工商行政管理局怀柔分局换发的</w:t>
      </w:r>
      <w:r w:rsidRPr="0038656B">
        <w:rPr>
          <w:rFonts w:ascii="Times New Roman" w:hAnsi="Times New Roman" w:cs="Times New Roman"/>
          <w:sz w:val="24"/>
          <w:szCs w:val="24"/>
        </w:rPr>
        <w:t>110116017505466</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10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10</w:t>
      </w:r>
      <w:r w:rsidRPr="0038656B">
        <w:rPr>
          <w:rFonts w:ascii="Times New Roman" w:hAnsi="Times New Roman" w:cs="Times New Roman"/>
          <w:sz w:val="24"/>
          <w:szCs w:val="24"/>
        </w:rPr>
        <w:t>万元，北京市慕田峪长城旅游服务有限公司持股比例为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lastRenderedPageBreak/>
        <w:t>经广州市工商行政管理局</w:t>
      </w:r>
      <w:proofErr w:type="gramStart"/>
      <w:r w:rsidRPr="0038656B">
        <w:rPr>
          <w:rFonts w:ascii="Times New Roman" w:hAnsi="Times New Roman" w:cs="Times New Roman"/>
          <w:sz w:val="24"/>
          <w:szCs w:val="24"/>
        </w:rPr>
        <w:t>番禺区</w:t>
      </w:r>
      <w:proofErr w:type="gramEnd"/>
      <w:r w:rsidRPr="0038656B">
        <w:rPr>
          <w:rFonts w:ascii="Times New Roman" w:hAnsi="Times New Roman" w:cs="Times New Roman"/>
          <w:sz w:val="24"/>
          <w:szCs w:val="24"/>
        </w:rPr>
        <w:t>分局批准，由全资子公司金融街广州置业有限公司出资设立广州融御置业有限公司，于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7</w:t>
      </w:r>
      <w:r w:rsidRPr="0038656B">
        <w:rPr>
          <w:rFonts w:ascii="Times New Roman" w:hAnsi="Times New Roman" w:cs="Times New Roman"/>
          <w:sz w:val="24"/>
          <w:szCs w:val="24"/>
        </w:rPr>
        <w:t>月取得广州市工商行政管理局</w:t>
      </w:r>
      <w:proofErr w:type="gramStart"/>
      <w:r w:rsidRPr="0038656B">
        <w:rPr>
          <w:rFonts w:ascii="Times New Roman" w:hAnsi="Times New Roman" w:cs="Times New Roman"/>
          <w:sz w:val="24"/>
          <w:szCs w:val="24"/>
        </w:rPr>
        <w:t>番禺区</w:t>
      </w:r>
      <w:proofErr w:type="gramEnd"/>
      <w:r w:rsidRPr="0038656B">
        <w:rPr>
          <w:rFonts w:ascii="Times New Roman" w:hAnsi="Times New Roman" w:cs="Times New Roman"/>
          <w:sz w:val="24"/>
          <w:szCs w:val="24"/>
        </w:rPr>
        <w:t>分局换发的</w:t>
      </w:r>
      <w:r w:rsidRPr="0038656B">
        <w:rPr>
          <w:rFonts w:ascii="Times New Roman" w:hAnsi="Times New Roman" w:cs="Times New Roman"/>
          <w:sz w:val="24"/>
          <w:szCs w:val="24"/>
        </w:rPr>
        <w:t>440126000473501</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万元，金融街广州置业有限公司持股比例为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经重庆市工商行政管理局沙坪坝区分局批准，由全资子公司金融街重庆置业有限公司出资设立重庆金铎置业有限公司，于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10</w:t>
      </w:r>
      <w:r w:rsidRPr="0038656B">
        <w:rPr>
          <w:rFonts w:ascii="Times New Roman" w:hAnsi="Times New Roman" w:cs="Times New Roman"/>
          <w:sz w:val="24"/>
          <w:szCs w:val="24"/>
        </w:rPr>
        <w:t>月取得重庆市工商行政管理局沙坪坝区分局换发的</w:t>
      </w:r>
      <w:r w:rsidRPr="0038656B">
        <w:rPr>
          <w:rFonts w:ascii="Times New Roman" w:hAnsi="Times New Roman" w:cs="Times New Roman"/>
          <w:sz w:val="24"/>
          <w:szCs w:val="24"/>
        </w:rPr>
        <w:t>500106005520958</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10,000</w:t>
      </w:r>
      <w:r w:rsidRPr="0038656B">
        <w:rPr>
          <w:rFonts w:ascii="Times New Roman" w:hAnsi="Times New Roman" w:cs="Times New Roman"/>
          <w:sz w:val="24"/>
          <w:szCs w:val="24"/>
        </w:rPr>
        <w:t>万元，金融街重庆置业有限公司持股比例为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经北京市工商行政管理局批准，由全资子公司金融街长安（北京）置业有限公司与北京天恒房地产股份有限公司共同出资组建北京金天恒置业有限公司，于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10</w:t>
      </w:r>
      <w:r w:rsidRPr="0038656B">
        <w:rPr>
          <w:rFonts w:ascii="Times New Roman" w:hAnsi="Times New Roman" w:cs="Times New Roman"/>
          <w:sz w:val="24"/>
          <w:szCs w:val="24"/>
        </w:rPr>
        <w:t>月取得北京市工商行政管理局换发的</w:t>
      </w:r>
      <w:r w:rsidRPr="0038656B">
        <w:rPr>
          <w:rFonts w:ascii="Times New Roman" w:hAnsi="Times New Roman" w:cs="Times New Roman"/>
          <w:sz w:val="24"/>
          <w:szCs w:val="24"/>
        </w:rPr>
        <w:t>110000018009586</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120,000</w:t>
      </w:r>
      <w:r w:rsidRPr="0038656B">
        <w:rPr>
          <w:rFonts w:ascii="Times New Roman" w:hAnsi="Times New Roman" w:cs="Times New Roman"/>
          <w:sz w:val="24"/>
          <w:szCs w:val="24"/>
        </w:rPr>
        <w:t>万元，其中金融街长安（北京）置业有限公司持股比例为</w:t>
      </w:r>
      <w:r w:rsidRPr="0038656B">
        <w:rPr>
          <w:rFonts w:ascii="Times New Roman" w:hAnsi="Times New Roman" w:cs="Times New Roman"/>
          <w:sz w:val="24"/>
          <w:szCs w:val="24"/>
        </w:rPr>
        <w:t>50%</w:t>
      </w:r>
      <w:r w:rsidRPr="0038656B">
        <w:rPr>
          <w:rFonts w:ascii="Times New Roman" w:hAnsi="Times New Roman" w:cs="Times New Roman"/>
          <w:sz w:val="24"/>
          <w:szCs w:val="24"/>
        </w:rPr>
        <w:t>，北京天恒房地产股份有限公司持股比例为</w:t>
      </w:r>
      <w:r w:rsidRPr="0038656B">
        <w:rPr>
          <w:rFonts w:ascii="Times New Roman" w:hAnsi="Times New Roman" w:cs="Times New Roman"/>
          <w:sz w:val="24"/>
          <w:szCs w:val="24"/>
        </w:rPr>
        <w:t>50%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经广州市工商行政管理局</w:t>
      </w:r>
      <w:proofErr w:type="gramStart"/>
      <w:r w:rsidRPr="0038656B">
        <w:rPr>
          <w:rFonts w:ascii="Times New Roman" w:hAnsi="Times New Roman" w:cs="Times New Roman"/>
          <w:sz w:val="24"/>
          <w:szCs w:val="24"/>
        </w:rPr>
        <w:t>荔湾分局</w:t>
      </w:r>
      <w:proofErr w:type="gramEnd"/>
      <w:r w:rsidRPr="0038656B">
        <w:rPr>
          <w:rFonts w:ascii="Times New Roman" w:hAnsi="Times New Roman" w:cs="Times New Roman"/>
          <w:sz w:val="24"/>
          <w:szCs w:val="24"/>
        </w:rPr>
        <w:t>批准，由全资子公司金融街广州置业有限公司与广州方荣房地产有限公司共同出资组建广州融方置业有限公司，于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11</w:t>
      </w:r>
      <w:r w:rsidRPr="0038656B">
        <w:rPr>
          <w:rFonts w:ascii="Times New Roman" w:hAnsi="Times New Roman" w:cs="Times New Roman"/>
          <w:sz w:val="24"/>
          <w:szCs w:val="24"/>
        </w:rPr>
        <w:t>月取得广州市工商行政管理局</w:t>
      </w:r>
      <w:proofErr w:type="gramStart"/>
      <w:r w:rsidRPr="0038656B">
        <w:rPr>
          <w:rFonts w:ascii="Times New Roman" w:hAnsi="Times New Roman" w:cs="Times New Roman"/>
          <w:sz w:val="24"/>
          <w:szCs w:val="24"/>
        </w:rPr>
        <w:t>荔湾分局</w:t>
      </w:r>
      <w:proofErr w:type="gramEnd"/>
      <w:r w:rsidRPr="0038656B">
        <w:rPr>
          <w:rFonts w:ascii="Times New Roman" w:hAnsi="Times New Roman" w:cs="Times New Roman"/>
          <w:sz w:val="24"/>
          <w:szCs w:val="24"/>
        </w:rPr>
        <w:t>换发的</w:t>
      </w:r>
      <w:r w:rsidRPr="0038656B">
        <w:rPr>
          <w:rFonts w:ascii="Times New Roman" w:hAnsi="Times New Roman" w:cs="Times New Roman"/>
          <w:sz w:val="24"/>
          <w:szCs w:val="24"/>
        </w:rPr>
        <w:t>440103000220715</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1,000</w:t>
      </w:r>
      <w:r w:rsidRPr="0038656B">
        <w:rPr>
          <w:rFonts w:ascii="Times New Roman" w:hAnsi="Times New Roman" w:cs="Times New Roman"/>
          <w:sz w:val="24"/>
          <w:szCs w:val="24"/>
        </w:rPr>
        <w:t>万元，实收资本为人民币</w:t>
      </w:r>
      <w:r w:rsidRPr="0038656B">
        <w:rPr>
          <w:rFonts w:ascii="Times New Roman" w:hAnsi="Times New Roman" w:cs="Times New Roman"/>
          <w:sz w:val="24"/>
          <w:szCs w:val="24"/>
        </w:rPr>
        <w:t>1,000</w:t>
      </w:r>
      <w:r w:rsidRPr="0038656B">
        <w:rPr>
          <w:rFonts w:ascii="Times New Roman" w:hAnsi="Times New Roman" w:cs="Times New Roman"/>
          <w:sz w:val="24"/>
          <w:szCs w:val="24"/>
        </w:rPr>
        <w:t>万元，其中金融街广州置业有限公司持股比例为</w:t>
      </w:r>
      <w:r w:rsidRPr="0038656B">
        <w:rPr>
          <w:rFonts w:ascii="Times New Roman" w:hAnsi="Times New Roman" w:cs="Times New Roman"/>
          <w:sz w:val="24"/>
          <w:szCs w:val="24"/>
        </w:rPr>
        <w:t>50%</w:t>
      </w:r>
      <w:r w:rsidRPr="0038656B">
        <w:rPr>
          <w:rFonts w:ascii="Times New Roman" w:hAnsi="Times New Roman" w:cs="Times New Roman"/>
          <w:sz w:val="24"/>
          <w:szCs w:val="24"/>
        </w:rPr>
        <w:t>，广州方荣房地产有限公司持股比例为</w:t>
      </w:r>
      <w:r w:rsidRPr="0038656B">
        <w:rPr>
          <w:rFonts w:ascii="Times New Roman" w:hAnsi="Times New Roman" w:cs="Times New Roman"/>
          <w:sz w:val="24"/>
          <w:szCs w:val="24"/>
        </w:rPr>
        <w:t>50%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公司本期在英属维尔京群岛设立</w:t>
      </w:r>
      <w:r w:rsidRPr="0038656B">
        <w:rPr>
          <w:rFonts w:ascii="Times New Roman" w:hAnsi="Times New Roman" w:cs="Times New Roman"/>
          <w:sz w:val="24"/>
          <w:szCs w:val="24"/>
        </w:rPr>
        <w:t>Start Plus Investments limited (</w:t>
      </w:r>
      <w:proofErr w:type="gramStart"/>
      <w:r w:rsidRPr="0038656B">
        <w:rPr>
          <w:rFonts w:ascii="Times New Roman" w:hAnsi="Times New Roman" w:cs="Times New Roman"/>
          <w:sz w:val="24"/>
          <w:szCs w:val="24"/>
        </w:rPr>
        <w:t>啟添投资</w:t>
      </w:r>
      <w:proofErr w:type="gramEnd"/>
      <w:r w:rsidRPr="0038656B">
        <w:rPr>
          <w:rFonts w:ascii="Times New Roman" w:hAnsi="Times New Roman" w:cs="Times New Roman"/>
          <w:sz w:val="24"/>
          <w:szCs w:val="24"/>
        </w:rPr>
        <w:t>有限公司</w:t>
      </w:r>
      <w:r w:rsidRPr="0038656B">
        <w:rPr>
          <w:rFonts w:ascii="Times New Roman" w:hAnsi="Times New Roman" w:cs="Times New Roman"/>
          <w:sz w:val="24"/>
          <w:szCs w:val="24"/>
        </w:rPr>
        <w:t>)</w:t>
      </w:r>
      <w:r w:rsidRPr="0038656B">
        <w:rPr>
          <w:rFonts w:ascii="Times New Roman" w:hAnsi="Times New Roman" w:cs="Times New Roman"/>
          <w:sz w:val="24"/>
          <w:szCs w:val="24"/>
        </w:rPr>
        <w:t>，公司注册证书号</w:t>
      </w:r>
      <w:r w:rsidRPr="0038656B">
        <w:rPr>
          <w:rFonts w:ascii="Times New Roman" w:hAnsi="Times New Roman" w:cs="Times New Roman"/>
          <w:sz w:val="24"/>
          <w:szCs w:val="24"/>
        </w:rPr>
        <w:t>1824064</w:t>
      </w:r>
      <w:r w:rsidRPr="0038656B">
        <w:rPr>
          <w:rFonts w:ascii="Times New Roman" w:hAnsi="Times New Roman" w:cs="Times New Roman"/>
          <w:sz w:val="24"/>
          <w:szCs w:val="24"/>
        </w:rPr>
        <w:t>，注册资本</w:t>
      </w:r>
      <w:r w:rsidRPr="0038656B">
        <w:rPr>
          <w:rFonts w:ascii="Times New Roman" w:hAnsi="Times New Roman" w:cs="Times New Roman"/>
          <w:sz w:val="24"/>
          <w:szCs w:val="24"/>
        </w:rPr>
        <w:t>100</w:t>
      </w:r>
      <w:r w:rsidRPr="0038656B">
        <w:rPr>
          <w:rFonts w:ascii="Times New Roman" w:hAnsi="Times New Roman" w:cs="Times New Roman"/>
          <w:sz w:val="24"/>
          <w:szCs w:val="24"/>
        </w:rPr>
        <w:t>美元，截止</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w:t>
      </w:r>
      <w:r w:rsidRPr="0038656B">
        <w:rPr>
          <w:rFonts w:ascii="Times New Roman" w:hAnsi="Times New Roman" w:cs="Times New Roman"/>
          <w:sz w:val="24"/>
          <w:szCs w:val="24"/>
        </w:rPr>
        <w:t>31</w:t>
      </w:r>
      <w:r w:rsidRPr="0038656B">
        <w:rPr>
          <w:rFonts w:ascii="Times New Roman" w:hAnsi="Times New Roman" w:cs="Times New Roman"/>
          <w:sz w:val="24"/>
          <w:szCs w:val="24"/>
        </w:rPr>
        <w:t>日，实收资本为</w:t>
      </w:r>
      <w:r w:rsidRPr="0038656B">
        <w:rPr>
          <w:rFonts w:ascii="Times New Roman" w:hAnsi="Times New Roman" w:cs="Times New Roman"/>
          <w:sz w:val="24"/>
          <w:szCs w:val="24"/>
        </w:rPr>
        <w:t>100</w:t>
      </w:r>
      <w:r w:rsidRPr="0038656B">
        <w:rPr>
          <w:rFonts w:ascii="Times New Roman" w:hAnsi="Times New Roman" w:cs="Times New Roman"/>
          <w:sz w:val="24"/>
          <w:szCs w:val="24"/>
        </w:rPr>
        <w:t>美元，金融街控股（香港）有限公司持股比例为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公司本期在英属维尔京群岛设立</w:t>
      </w:r>
      <w:r w:rsidRPr="0038656B">
        <w:rPr>
          <w:rFonts w:ascii="Times New Roman" w:hAnsi="Times New Roman" w:cs="Times New Roman"/>
          <w:sz w:val="24"/>
          <w:szCs w:val="24"/>
        </w:rPr>
        <w:t xml:space="preserve">Power Strive Limited ( </w:t>
      </w:r>
      <w:r w:rsidRPr="0038656B">
        <w:rPr>
          <w:rFonts w:ascii="Times New Roman" w:hAnsi="Times New Roman" w:cs="Times New Roman"/>
          <w:sz w:val="24"/>
          <w:szCs w:val="24"/>
        </w:rPr>
        <w:t>振威有限公司</w:t>
      </w:r>
      <w:r w:rsidRPr="0038656B">
        <w:rPr>
          <w:rFonts w:ascii="Times New Roman" w:hAnsi="Times New Roman" w:cs="Times New Roman"/>
          <w:sz w:val="24"/>
          <w:szCs w:val="24"/>
        </w:rPr>
        <w:t>)</w:t>
      </w:r>
      <w:r w:rsidRPr="0038656B">
        <w:rPr>
          <w:rFonts w:ascii="Times New Roman" w:hAnsi="Times New Roman" w:cs="Times New Roman"/>
          <w:sz w:val="24"/>
          <w:szCs w:val="24"/>
        </w:rPr>
        <w:t>，公司注册证书号</w:t>
      </w:r>
      <w:r w:rsidRPr="0038656B">
        <w:rPr>
          <w:rFonts w:ascii="Times New Roman" w:hAnsi="Times New Roman" w:cs="Times New Roman"/>
          <w:sz w:val="24"/>
          <w:szCs w:val="24"/>
        </w:rPr>
        <w:t>1825586</w:t>
      </w:r>
      <w:r w:rsidRPr="0038656B">
        <w:rPr>
          <w:rFonts w:ascii="Times New Roman" w:hAnsi="Times New Roman" w:cs="Times New Roman"/>
          <w:sz w:val="24"/>
          <w:szCs w:val="24"/>
        </w:rPr>
        <w:t>，注册资本</w:t>
      </w:r>
      <w:r w:rsidRPr="0038656B">
        <w:rPr>
          <w:rFonts w:ascii="Times New Roman" w:hAnsi="Times New Roman" w:cs="Times New Roman"/>
          <w:sz w:val="24"/>
          <w:szCs w:val="24"/>
        </w:rPr>
        <w:t>100</w:t>
      </w:r>
      <w:r w:rsidRPr="0038656B">
        <w:rPr>
          <w:rFonts w:ascii="Times New Roman" w:hAnsi="Times New Roman" w:cs="Times New Roman"/>
          <w:sz w:val="24"/>
          <w:szCs w:val="24"/>
        </w:rPr>
        <w:t>美元，截止</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w:t>
      </w:r>
      <w:r w:rsidRPr="0038656B">
        <w:rPr>
          <w:rFonts w:ascii="Times New Roman" w:hAnsi="Times New Roman" w:cs="Times New Roman"/>
          <w:sz w:val="24"/>
          <w:szCs w:val="24"/>
        </w:rPr>
        <w:t>31</w:t>
      </w:r>
      <w:r w:rsidRPr="0038656B">
        <w:rPr>
          <w:rFonts w:ascii="Times New Roman" w:hAnsi="Times New Roman" w:cs="Times New Roman"/>
          <w:sz w:val="24"/>
          <w:szCs w:val="24"/>
        </w:rPr>
        <w:t>日，实收资本为</w:t>
      </w:r>
      <w:r w:rsidRPr="0038656B">
        <w:rPr>
          <w:rFonts w:ascii="Times New Roman" w:hAnsi="Times New Roman" w:cs="Times New Roman"/>
          <w:sz w:val="24"/>
          <w:szCs w:val="24"/>
        </w:rPr>
        <w:t>100</w:t>
      </w:r>
      <w:r w:rsidRPr="0038656B">
        <w:rPr>
          <w:rFonts w:ascii="Times New Roman" w:hAnsi="Times New Roman" w:cs="Times New Roman"/>
          <w:sz w:val="24"/>
          <w:szCs w:val="24"/>
        </w:rPr>
        <w:t>美元，金融街控股（香港）有限公司持股比例为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267780" w:rsidP="000949BF">
      <w:pPr>
        <w:autoSpaceDE w:val="0"/>
        <w:autoSpaceDN w:val="0"/>
        <w:adjustRightInd w:val="0"/>
        <w:spacing w:line="360" w:lineRule="auto"/>
        <w:ind w:firstLineChars="200" w:firstLine="480"/>
        <w:jc w:val="left"/>
        <w:outlineLvl w:val="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sidR="007537E9">
        <w:rPr>
          <w:rFonts w:ascii="Times New Roman" w:hAnsi="Times New Roman" w:cs="Times New Roman" w:hint="eastAsia"/>
          <w:sz w:val="24"/>
          <w:szCs w:val="24"/>
        </w:rPr>
        <w:t>本年</w:t>
      </w:r>
      <w:r w:rsidR="0038656B" w:rsidRPr="0038656B">
        <w:rPr>
          <w:rFonts w:ascii="Times New Roman" w:hAnsi="Times New Roman" w:cs="Times New Roman"/>
          <w:sz w:val="24"/>
          <w:szCs w:val="24"/>
        </w:rPr>
        <w:t>公司增加</w:t>
      </w:r>
      <w:r w:rsidR="0038656B" w:rsidRPr="0038656B">
        <w:rPr>
          <w:rFonts w:ascii="Times New Roman" w:hAnsi="Times New Roman" w:cs="Times New Roman"/>
          <w:sz w:val="24"/>
          <w:szCs w:val="24"/>
        </w:rPr>
        <w:t>2</w:t>
      </w:r>
      <w:r w:rsidR="0038656B" w:rsidRPr="0038656B">
        <w:rPr>
          <w:rFonts w:ascii="Times New Roman" w:hAnsi="Times New Roman" w:cs="Times New Roman"/>
          <w:sz w:val="24"/>
          <w:szCs w:val="24"/>
        </w:rPr>
        <w:t>家四级子公司</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经天津市工商行政管理局西青分局批准，由非全资子公司天津盛世</w:t>
      </w:r>
      <w:proofErr w:type="gramStart"/>
      <w:r w:rsidRPr="0038656B">
        <w:rPr>
          <w:rFonts w:ascii="Times New Roman" w:hAnsi="Times New Roman" w:cs="Times New Roman"/>
          <w:sz w:val="24"/>
          <w:szCs w:val="24"/>
        </w:rPr>
        <w:t>鑫</w:t>
      </w:r>
      <w:proofErr w:type="gramEnd"/>
      <w:r w:rsidRPr="0038656B">
        <w:rPr>
          <w:rFonts w:ascii="Times New Roman" w:hAnsi="Times New Roman" w:cs="Times New Roman"/>
          <w:sz w:val="24"/>
          <w:szCs w:val="24"/>
        </w:rPr>
        <w:t>和置业有限公司出资设立天津</w:t>
      </w:r>
      <w:proofErr w:type="gramStart"/>
      <w:r w:rsidRPr="0038656B">
        <w:rPr>
          <w:rFonts w:ascii="Times New Roman" w:hAnsi="Times New Roman" w:cs="Times New Roman"/>
          <w:sz w:val="24"/>
          <w:szCs w:val="24"/>
        </w:rPr>
        <w:t>鑫</w:t>
      </w:r>
      <w:proofErr w:type="gramEnd"/>
      <w:r w:rsidRPr="0038656B">
        <w:rPr>
          <w:rFonts w:ascii="Times New Roman" w:hAnsi="Times New Roman" w:cs="Times New Roman"/>
          <w:sz w:val="24"/>
          <w:szCs w:val="24"/>
        </w:rPr>
        <w:t>和隆昌置业有限公司，于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4</w:t>
      </w:r>
      <w:r w:rsidRPr="0038656B">
        <w:rPr>
          <w:rFonts w:ascii="Times New Roman" w:hAnsi="Times New Roman" w:cs="Times New Roman"/>
          <w:sz w:val="24"/>
          <w:szCs w:val="24"/>
        </w:rPr>
        <w:t>月取得天津市工商行</w:t>
      </w:r>
      <w:r w:rsidRPr="0038656B">
        <w:rPr>
          <w:rFonts w:ascii="Times New Roman" w:hAnsi="Times New Roman" w:cs="Times New Roman"/>
          <w:sz w:val="24"/>
          <w:szCs w:val="24"/>
        </w:rPr>
        <w:lastRenderedPageBreak/>
        <w:t>政管理局西青分局换发的</w:t>
      </w:r>
      <w:r w:rsidRPr="0038656B">
        <w:rPr>
          <w:rFonts w:ascii="Times New Roman" w:hAnsi="Times New Roman" w:cs="Times New Roman"/>
          <w:sz w:val="24"/>
          <w:szCs w:val="24"/>
        </w:rPr>
        <w:t>120111000155298</w:t>
      </w:r>
      <w:r w:rsidRPr="0038656B">
        <w:rPr>
          <w:rFonts w:ascii="Times New Roman" w:hAnsi="Times New Roman" w:cs="Times New Roman"/>
          <w:sz w:val="24"/>
          <w:szCs w:val="24"/>
        </w:rPr>
        <w:t>号《企业法人营业执照》，注册资本为人民币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万元，实收资本人民币</w:t>
      </w:r>
      <w:r w:rsidRPr="0038656B">
        <w:rPr>
          <w:rFonts w:ascii="Times New Roman" w:hAnsi="Times New Roman" w:cs="Times New Roman"/>
          <w:sz w:val="24"/>
          <w:szCs w:val="24"/>
        </w:rPr>
        <w:t>5,000</w:t>
      </w:r>
      <w:r w:rsidRPr="0038656B">
        <w:rPr>
          <w:rFonts w:ascii="Times New Roman" w:hAnsi="Times New Roman" w:cs="Times New Roman"/>
          <w:sz w:val="24"/>
          <w:szCs w:val="24"/>
        </w:rPr>
        <w:t>万元，天津盛世</w:t>
      </w:r>
      <w:proofErr w:type="gramStart"/>
      <w:r w:rsidRPr="0038656B">
        <w:rPr>
          <w:rFonts w:ascii="Times New Roman" w:hAnsi="Times New Roman" w:cs="Times New Roman"/>
          <w:sz w:val="24"/>
          <w:szCs w:val="24"/>
        </w:rPr>
        <w:t>鑫</w:t>
      </w:r>
      <w:proofErr w:type="gramEnd"/>
      <w:r w:rsidRPr="0038656B">
        <w:rPr>
          <w:rFonts w:ascii="Times New Roman" w:hAnsi="Times New Roman" w:cs="Times New Roman"/>
          <w:sz w:val="24"/>
          <w:szCs w:val="24"/>
        </w:rPr>
        <w:t>和置业有限公司持股比例为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Pr="0038656B" w:rsidRDefault="0038656B" w:rsidP="0038656B">
      <w:pPr>
        <w:autoSpaceDE w:val="0"/>
        <w:autoSpaceDN w:val="0"/>
        <w:adjustRightInd w:val="0"/>
        <w:spacing w:line="360" w:lineRule="auto"/>
        <w:ind w:firstLineChars="200" w:firstLine="480"/>
        <w:jc w:val="left"/>
        <w:rPr>
          <w:rFonts w:ascii="Times New Roman" w:hAnsi="Times New Roman" w:cs="Times New Roman"/>
          <w:sz w:val="24"/>
          <w:szCs w:val="24"/>
        </w:rPr>
      </w:pPr>
      <w:r w:rsidRPr="0038656B">
        <w:rPr>
          <w:rFonts w:ascii="Times New Roman" w:hAnsi="Times New Roman" w:cs="Times New Roman"/>
          <w:sz w:val="24"/>
          <w:szCs w:val="24"/>
        </w:rPr>
        <w:t>公司本期在香港设立</w:t>
      </w:r>
      <w:proofErr w:type="spellStart"/>
      <w:r w:rsidRPr="0038656B">
        <w:rPr>
          <w:rFonts w:ascii="Times New Roman" w:hAnsi="Times New Roman" w:cs="Times New Roman"/>
          <w:sz w:val="24"/>
          <w:szCs w:val="24"/>
        </w:rPr>
        <w:t>Stepmount</w:t>
      </w:r>
      <w:proofErr w:type="spellEnd"/>
      <w:r w:rsidRPr="0038656B">
        <w:rPr>
          <w:rFonts w:ascii="Times New Roman" w:hAnsi="Times New Roman" w:cs="Times New Roman"/>
          <w:sz w:val="24"/>
          <w:szCs w:val="24"/>
        </w:rPr>
        <w:t xml:space="preserve"> Limited</w:t>
      </w:r>
      <w:r w:rsidRPr="0038656B">
        <w:rPr>
          <w:rFonts w:ascii="Times New Roman" w:hAnsi="Times New Roman" w:cs="Times New Roman"/>
          <w:sz w:val="24"/>
          <w:szCs w:val="24"/>
        </w:rPr>
        <w:t>（</w:t>
      </w:r>
      <w:proofErr w:type="gramStart"/>
      <w:r w:rsidRPr="0038656B">
        <w:rPr>
          <w:rFonts w:ascii="Times New Roman" w:hAnsi="Times New Roman" w:cs="Times New Roman"/>
          <w:sz w:val="24"/>
          <w:szCs w:val="24"/>
        </w:rPr>
        <w:t>晋步有限公司</w:t>
      </w:r>
      <w:proofErr w:type="gramEnd"/>
      <w:r w:rsidRPr="0038656B">
        <w:rPr>
          <w:rFonts w:ascii="Times New Roman" w:hAnsi="Times New Roman" w:cs="Times New Roman"/>
          <w:sz w:val="24"/>
          <w:szCs w:val="24"/>
        </w:rPr>
        <w:t>），并于</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7</w:t>
      </w:r>
      <w:r w:rsidRPr="0038656B">
        <w:rPr>
          <w:rFonts w:ascii="Times New Roman" w:hAnsi="Times New Roman" w:cs="Times New Roman"/>
          <w:sz w:val="24"/>
          <w:szCs w:val="24"/>
        </w:rPr>
        <w:t>月取得香港公司注册处颁发的</w:t>
      </w:r>
      <w:r w:rsidRPr="0038656B">
        <w:rPr>
          <w:rFonts w:ascii="Times New Roman" w:hAnsi="Times New Roman" w:cs="Times New Roman"/>
          <w:sz w:val="24"/>
          <w:szCs w:val="24"/>
        </w:rPr>
        <w:t>63602259</w:t>
      </w:r>
      <w:r w:rsidRPr="0038656B">
        <w:rPr>
          <w:rFonts w:ascii="Times New Roman" w:hAnsi="Times New Roman" w:cs="Times New Roman"/>
          <w:sz w:val="24"/>
          <w:szCs w:val="24"/>
        </w:rPr>
        <w:t>号公司注册证书，注册资本为</w:t>
      </w:r>
      <w:r w:rsidRPr="0038656B">
        <w:rPr>
          <w:rFonts w:ascii="Times New Roman" w:hAnsi="Times New Roman" w:cs="Times New Roman"/>
          <w:sz w:val="24"/>
          <w:szCs w:val="24"/>
        </w:rPr>
        <w:t>100</w:t>
      </w:r>
      <w:r w:rsidRPr="0038656B">
        <w:rPr>
          <w:rFonts w:ascii="Times New Roman" w:hAnsi="Times New Roman" w:cs="Times New Roman"/>
          <w:sz w:val="24"/>
          <w:szCs w:val="24"/>
        </w:rPr>
        <w:t>港币，截止</w:t>
      </w:r>
      <w:r w:rsidRPr="0038656B">
        <w:rPr>
          <w:rFonts w:ascii="Times New Roman" w:hAnsi="Times New Roman" w:cs="Times New Roman"/>
          <w:sz w:val="24"/>
          <w:szCs w:val="24"/>
        </w:rPr>
        <w:t>2014</w:t>
      </w:r>
      <w:r w:rsidRPr="0038656B">
        <w:rPr>
          <w:rFonts w:ascii="Times New Roman" w:hAnsi="Times New Roman" w:cs="Times New Roman"/>
          <w:sz w:val="24"/>
          <w:szCs w:val="24"/>
        </w:rPr>
        <w:t>年</w:t>
      </w:r>
      <w:r w:rsidRPr="0038656B">
        <w:rPr>
          <w:rFonts w:ascii="Times New Roman" w:hAnsi="Times New Roman" w:cs="Times New Roman"/>
          <w:sz w:val="24"/>
          <w:szCs w:val="24"/>
        </w:rPr>
        <w:t>12</w:t>
      </w:r>
      <w:r w:rsidRPr="0038656B">
        <w:rPr>
          <w:rFonts w:ascii="Times New Roman" w:hAnsi="Times New Roman" w:cs="Times New Roman"/>
          <w:sz w:val="24"/>
          <w:szCs w:val="24"/>
        </w:rPr>
        <w:t>月</w:t>
      </w:r>
      <w:r w:rsidRPr="0038656B">
        <w:rPr>
          <w:rFonts w:ascii="Times New Roman" w:hAnsi="Times New Roman" w:cs="Times New Roman"/>
          <w:sz w:val="24"/>
          <w:szCs w:val="24"/>
        </w:rPr>
        <w:t>31</w:t>
      </w:r>
      <w:r w:rsidRPr="0038656B">
        <w:rPr>
          <w:rFonts w:ascii="Times New Roman" w:hAnsi="Times New Roman" w:cs="Times New Roman"/>
          <w:sz w:val="24"/>
          <w:szCs w:val="24"/>
        </w:rPr>
        <w:t>日，实收资本为</w:t>
      </w:r>
      <w:r w:rsidRPr="0038656B">
        <w:rPr>
          <w:rFonts w:ascii="Times New Roman" w:hAnsi="Times New Roman" w:cs="Times New Roman"/>
          <w:sz w:val="24"/>
          <w:szCs w:val="24"/>
        </w:rPr>
        <w:t>100</w:t>
      </w:r>
      <w:r w:rsidRPr="0038656B">
        <w:rPr>
          <w:rFonts w:ascii="Times New Roman" w:hAnsi="Times New Roman" w:cs="Times New Roman"/>
          <w:sz w:val="24"/>
          <w:szCs w:val="24"/>
        </w:rPr>
        <w:t>港币，</w:t>
      </w:r>
      <w:r w:rsidR="004D50BB">
        <w:rPr>
          <w:rFonts w:ascii="Times New Roman" w:hAnsi="Times New Roman" w:cs="Times New Roman"/>
          <w:sz w:val="24"/>
          <w:szCs w:val="24"/>
        </w:rPr>
        <w:t>公司</w:t>
      </w:r>
      <w:r w:rsidRPr="0038656B">
        <w:rPr>
          <w:rFonts w:ascii="Times New Roman" w:hAnsi="Times New Roman" w:cs="Times New Roman"/>
          <w:sz w:val="24"/>
          <w:szCs w:val="24"/>
        </w:rPr>
        <w:t>持股比例为</w:t>
      </w:r>
      <w:r w:rsidRPr="0038656B">
        <w:rPr>
          <w:rFonts w:ascii="Times New Roman" w:hAnsi="Times New Roman" w:cs="Times New Roman"/>
          <w:sz w:val="24"/>
          <w:szCs w:val="24"/>
        </w:rPr>
        <w:t>100%</w:t>
      </w:r>
      <w:r w:rsidRPr="0038656B">
        <w:rPr>
          <w:rFonts w:ascii="Times New Roman" w:hAnsi="Times New Roman" w:cs="Times New Roman"/>
          <w:sz w:val="24"/>
          <w:szCs w:val="24"/>
        </w:rPr>
        <w:t>。</w:t>
      </w:r>
    </w:p>
    <w:p w:rsidR="0038656B" w:rsidRDefault="00267780" w:rsidP="000949BF">
      <w:pPr>
        <w:autoSpaceDE w:val="0"/>
        <w:autoSpaceDN w:val="0"/>
        <w:adjustRightInd w:val="0"/>
        <w:spacing w:line="360" w:lineRule="auto"/>
        <w:ind w:firstLineChars="200" w:firstLine="482"/>
        <w:jc w:val="left"/>
        <w:outlineLvl w:val="0"/>
        <w:rPr>
          <w:rFonts w:ascii="Times New Roman" w:hAnsi="Times New Roman" w:cs="Times New Roman"/>
          <w:b/>
          <w:sz w:val="24"/>
          <w:szCs w:val="24"/>
        </w:rPr>
      </w:pPr>
      <w:r w:rsidRPr="00D81E0A">
        <w:rPr>
          <w:rFonts w:ascii="Times New Roman" w:hAnsi="Times New Roman" w:cs="Times New Roman" w:hint="eastAsia"/>
          <w:b/>
          <w:sz w:val="24"/>
          <w:szCs w:val="24"/>
        </w:rPr>
        <w:t>4</w:t>
      </w:r>
      <w:r w:rsidRPr="00D81E0A">
        <w:rPr>
          <w:rFonts w:ascii="Times New Roman" w:hAnsi="Times New Roman" w:cs="Times New Roman" w:hint="eastAsia"/>
          <w:b/>
          <w:sz w:val="24"/>
          <w:szCs w:val="24"/>
        </w:rPr>
        <w:t>、</w:t>
      </w:r>
      <w:r w:rsidR="0038656B" w:rsidRPr="00D81E0A">
        <w:rPr>
          <w:rFonts w:ascii="Times New Roman" w:hAnsi="Times New Roman" w:cs="Times New Roman" w:hint="eastAsia"/>
          <w:b/>
          <w:sz w:val="24"/>
          <w:szCs w:val="24"/>
        </w:rPr>
        <w:t>2015</w:t>
      </w:r>
      <w:r w:rsidR="0038656B" w:rsidRPr="00D81E0A">
        <w:rPr>
          <w:rFonts w:ascii="Times New Roman" w:hAnsi="Times New Roman" w:cs="Times New Roman" w:hint="eastAsia"/>
          <w:b/>
          <w:sz w:val="24"/>
          <w:szCs w:val="24"/>
        </w:rPr>
        <w:t>年度第一季度合并报表范围的变化</w:t>
      </w:r>
    </w:p>
    <w:p w:rsidR="002B3EDF" w:rsidRDefault="003A26C0" w:rsidP="003A26C0">
      <w:pPr>
        <w:autoSpaceDE w:val="0"/>
        <w:autoSpaceDN w:val="0"/>
        <w:adjustRightIn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公司于</w:t>
      </w:r>
      <w:r>
        <w:rPr>
          <w:rFonts w:ascii="Times New Roman" w:hAnsi="Times New Roman" w:cs="Times New Roman" w:hint="eastAsia"/>
          <w:sz w:val="24"/>
          <w:szCs w:val="24"/>
        </w:rPr>
        <w:t>2015</w:t>
      </w:r>
      <w:r>
        <w:rPr>
          <w:rFonts w:ascii="Times New Roman" w:hAnsi="Times New Roman" w:cs="Times New Roman" w:hint="eastAsia"/>
          <w:sz w:val="24"/>
          <w:szCs w:val="24"/>
        </w:rPr>
        <w:t>年</w:t>
      </w:r>
      <w:r>
        <w:rPr>
          <w:rFonts w:ascii="Times New Roman" w:hAnsi="Times New Roman" w:cs="Times New Roman" w:hint="eastAsia"/>
          <w:sz w:val="24"/>
          <w:szCs w:val="24"/>
        </w:rPr>
        <w:t>3</w:t>
      </w:r>
      <w:r>
        <w:rPr>
          <w:rFonts w:ascii="Times New Roman" w:hAnsi="Times New Roman" w:cs="Times New Roman" w:hint="eastAsia"/>
          <w:sz w:val="24"/>
          <w:szCs w:val="24"/>
        </w:rPr>
        <w:t>月发生非同</w:t>
      </w:r>
      <w:proofErr w:type="gramStart"/>
      <w:r>
        <w:rPr>
          <w:rFonts w:ascii="Times New Roman" w:hAnsi="Times New Roman" w:cs="Times New Roman" w:hint="eastAsia"/>
          <w:sz w:val="24"/>
          <w:szCs w:val="24"/>
        </w:rPr>
        <w:t>一控制</w:t>
      </w:r>
      <w:proofErr w:type="gramEnd"/>
      <w:r>
        <w:rPr>
          <w:rFonts w:ascii="Times New Roman" w:hAnsi="Times New Roman" w:cs="Times New Roman" w:hint="eastAsia"/>
          <w:sz w:val="24"/>
          <w:szCs w:val="24"/>
        </w:rPr>
        <w:t>下企业合并，被购买方为上海静盛房地产开发有限公司，公司以现金购买的方式取得其</w:t>
      </w:r>
      <w:r>
        <w:rPr>
          <w:rFonts w:ascii="Times New Roman" w:hAnsi="Times New Roman" w:cs="Times New Roman" w:hint="eastAsia"/>
          <w:sz w:val="24"/>
          <w:szCs w:val="24"/>
        </w:rPr>
        <w:t>100%</w:t>
      </w:r>
      <w:r>
        <w:rPr>
          <w:rFonts w:ascii="Times New Roman" w:hAnsi="Times New Roman" w:cs="Times New Roman" w:hint="eastAsia"/>
          <w:sz w:val="24"/>
          <w:szCs w:val="24"/>
        </w:rPr>
        <w:t>股权，购买成本为</w:t>
      </w:r>
      <w:r>
        <w:rPr>
          <w:rFonts w:ascii="Times New Roman" w:hAnsi="Times New Roman" w:cs="Times New Roman" w:hint="eastAsia"/>
          <w:sz w:val="24"/>
          <w:szCs w:val="24"/>
        </w:rPr>
        <w:t>10,061.21</w:t>
      </w:r>
      <w:r>
        <w:rPr>
          <w:rFonts w:ascii="Times New Roman" w:hAnsi="Times New Roman" w:cs="Times New Roman" w:hint="eastAsia"/>
          <w:sz w:val="24"/>
          <w:szCs w:val="24"/>
        </w:rPr>
        <w:t>万元</w:t>
      </w:r>
      <w:r w:rsidR="004D50BB">
        <w:rPr>
          <w:rFonts w:ascii="Times New Roman" w:hAnsi="Times New Roman" w:cs="Times New Roman" w:hint="eastAsia"/>
          <w:sz w:val="24"/>
          <w:szCs w:val="24"/>
        </w:rPr>
        <w:t>，公司持股比例为</w:t>
      </w:r>
      <w:r w:rsidR="004D50BB">
        <w:rPr>
          <w:rFonts w:ascii="Times New Roman" w:hAnsi="Times New Roman" w:cs="Times New Roman" w:hint="eastAsia"/>
          <w:sz w:val="24"/>
          <w:szCs w:val="24"/>
        </w:rPr>
        <w:t>100%</w:t>
      </w:r>
      <w:r>
        <w:rPr>
          <w:rFonts w:ascii="Times New Roman" w:hAnsi="Times New Roman" w:cs="Times New Roman" w:hint="eastAsia"/>
          <w:sz w:val="24"/>
          <w:szCs w:val="24"/>
        </w:rPr>
        <w:t>。</w:t>
      </w:r>
    </w:p>
    <w:p w:rsidR="002B3EDF" w:rsidRPr="002B3EDF" w:rsidRDefault="002B3EDF" w:rsidP="002B3EDF">
      <w:pPr>
        <w:autoSpaceDE w:val="0"/>
        <w:autoSpaceDN w:val="0"/>
        <w:adjustRightInd w:val="0"/>
        <w:spacing w:line="360" w:lineRule="auto"/>
        <w:ind w:firstLineChars="200" w:firstLine="482"/>
        <w:jc w:val="left"/>
        <w:rPr>
          <w:rFonts w:ascii="宋体" w:eastAsia="宋体" w:cs="宋体"/>
          <w:b/>
          <w:color w:val="000000"/>
          <w:kern w:val="0"/>
          <w:sz w:val="24"/>
          <w:szCs w:val="24"/>
        </w:rPr>
      </w:pPr>
      <w:r w:rsidRPr="002B3EDF">
        <w:rPr>
          <w:rFonts w:ascii="宋体" w:eastAsia="宋体" w:cs="宋体" w:hint="eastAsia"/>
          <w:b/>
          <w:color w:val="000000"/>
          <w:kern w:val="0"/>
          <w:sz w:val="24"/>
          <w:szCs w:val="24"/>
        </w:rPr>
        <w:t>（三）公司最近三年及一期主要财务指标</w:t>
      </w:r>
    </w:p>
    <w:p w:rsidR="002B3EDF" w:rsidRPr="002B3EDF" w:rsidRDefault="004D50BB" w:rsidP="002B3EDF">
      <w:pPr>
        <w:autoSpaceDE w:val="0"/>
        <w:autoSpaceDN w:val="0"/>
        <w:adjustRightInd w:val="0"/>
        <w:spacing w:line="360" w:lineRule="auto"/>
        <w:ind w:firstLineChars="200" w:firstLine="480"/>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公司最近三年及一期主要财务指标如</w:t>
      </w:r>
      <w:r w:rsidR="002B3EDF" w:rsidRPr="002B3EDF">
        <w:rPr>
          <w:rFonts w:ascii="宋体" w:eastAsia="宋体" w:cs="宋体" w:hint="eastAsia"/>
          <w:color w:val="000000"/>
          <w:kern w:val="0"/>
          <w:sz w:val="24"/>
          <w:szCs w:val="24"/>
        </w:rPr>
        <w:t>表</w:t>
      </w:r>
      <w:r w:rsidR="002B3EDF" w:rsidRPr="002B3EDF">
        <w:rPr>
          <w:rFonts w:ascii="Times New Roman" w:eastAsia="宋体" w:hAnsi="Times New Roman" w:cs="Times New Roman" w:hint="eastAsia"/>
          <w:color w:val="000000"/>
          <w:kern w:val="0"/>
          <w:sz w:val="24"/>
          <w:szCs w:val="24"/>
        </w:rPr>
        <w:t>7</w:t>
      </w:r>
      <w:r w:rsidR="002B3EDF" w:rsidRPr="002B3EDF">
        <w:rPr>
          <w:rFonts w:ascii="宋体" w:eastAsia="宋体" w:hAnsi="Times New Roman" w:cs="宋体" w:hint="eastAsia"/>
          <w:color w:val="000000"/>
          <w:kern w:val="0"/>
          <w:sz w:val="24"/>
          <w:szCs w:val="24"/>
        </w:rPr>
        <w:t>所示：</w:t>
      </w:r>
    </w:p>
    <w:p w:rsidR="002B3EDF" w:rsidRPr="002B3EDF" w:rsidRDefault="002B3EDF" w:rsidP="002B3EDF">
      <w:pPr>
        <w:autoSpaceDE w:val="0"/>
        <w:autoSpaceDN w:val="0"/>
        <w:adjustRightInd w:val="0"/>
        <w:spacing w:line="360" w:lineRule="auto"/>
        <w:ind w:firstLineChars="200" w:firstLine="482"/>
        <w:jc w:val="center"/>
        <w:rPr>
          <w:rFonts w:ascii="宋体" w:eastAsia="宋体" w:hAnsi="Times New Roman" w:cs="宋体"/>
          <w:b/>
          <w:color w:val="000000"/>
          <w:kern w:val="0"/>
          <w:sz w:val="24"/>
          <w:szCs w:val="24"/>
        </w:rPr>
      </w:pPr>
      <w:r w:rsidRPr="002B3EDF">
        <w:rPr>
          <w:rFonts w:ascii="宋体" w:eastAsia="宋体" w:hAnsi="Times New Roman" w:cs="宋体" w:hint="eastAsia"/>
          <w:b/>
          <w:color w:val="000000"/>
          <w:kern w:val="0"/>
          <w:sz w:val="24"/>
          <w:szCs w:val="24"/>
        </w:rPr>
        <w:t>表</w:t>
      </w:r>
      <w:r w:rsidRPr="002B3EDF">
        <w:rPr>
          <w:rFonts w:ascii="Times New Roman" w:eastAsia="宋体" w:hAnsi="Times New Roman" w:cs="Times New Roman" w:hint="eastAsia"/>
          <w:b/>
          <w:bCs/>
          <w:color w:val="000000"/>
          <w:kern w:val="0"/>
          <w:sz w:val="24"/>
          <w:szCs w:val="24"/>
        </w:rPr>
        <w:t>7</w:t>
      </w:r>
      <w:r w:rsidRPr="002B3EDF">
        <w:rPr>
          <w:rFonts w:ascii="宋体" w:eastAsia="宋体" w:hAnsi="Times New Roman" w:cs="宋体" w:hint="eastAsia"/>
          <w:b/>
          <w:color w:val="000000"/>
          <w:kern w:val="0"/>
          <w:sz w:val="24"/>
          <w:szCs w:val="24"/>
        </w:rPr>
        <w:t>：公司最近三年及一期主要财务指标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1483"/>
        <w:gridCol w:w="1485"/>
        <w:gridCol w:w="1483"/>
        <w:gridCol w:w="1485"/>
      </w:tblGrid>
      <w:tr w:rsidR="002B3EDF" w:rsidRPr="00A218FA" w:rsidTr="007537E9">
        <w:trPr>
          <w:trHeight w:val="397"/>
          <w:tblHeader/>
          <w:jc w:val="center"/>
        </w:trPr>
        <w:tc>
          <w:tcPr>
            <w:tcW w:w="1517" w:type="pct"/>
            <w:vAlign w:val="center"/>
          </w:tcPr>
          <w:p w:rsidR="002B3EDF" w:rsidRPr="002B3EDF" w:rsidRDefault="002B3EDF" w:rsidP="00D7731C">
            <w:pPr>
              <w:widowControl/>
              <w:jc w:val="center"/>
              <w:rPr>
                <w:rFonts w:ascii="Times New Roman" w:hAnsi="Times New Roman" w:cs="Times New Roman"/>
                <w:b/>
                <w:bCs/>
                <w:kern w:val="0"/>
                <w:szCs w:val="21"/>
              </w:rPr>
            </w:pPr>
            <w:r w:rsidRPr="002B3EDF">
              <w:rPr>
                <w:rFonts w:ascii="Times New Roman" w:hAnsi="Times New Roman" w:cs="Times New Roman"/>
                <w:b/>
                <w:bCs/>
                <w:kern w:val="0"/>
                <w:szCs w:val="21"/>
              </w:rPr>
              <w:t>项目</w:t>
            </w:r>
          </w:p>
        </w:tc>
        <w:tc>
          <w:tcPr>
            <w:tcW w:w="870" w:type="pct"/>
            <w:vAlign w:val="center"/>
          </w:tcPr>
          <w:p w:rsidR="002B3EDF" w:rsidRPr="002B3EDF" w:rsidRDefault="002B3EDF" w:rsidP="00D7731C">
            <w:pPr>
              <w:widowControl/>
              <w:jc w:val="center"/>
              <w:rPr>
                <w:rFonts w:ascii="Times New Roman" w:hAnsi="Times New Roman" w:cs="Times New Roman"/>
                <w:b/>
                <w:kern w:val="0"/>
                <w:szCs w:val="21"/>
              </w:rPr>
            </w:pPr>
            <w:r w:rsidRPr="002B3EDF">
              <w:rPr>
                <w:rFonts w:ascii="Times New Roman" w:hAnsi="Times New Roman" w:cs="Times New Roman"/>
                <w:b/>
                <w:kern w:val="0"/>
                <w:szCs w:val="21"/>
              </w:rPr>
              <w:t>2015.3.31</w:t>
            </w:r>
          </w:p>
        </w:tc>
        <w:tc>
          <w:tcPr>
            <w:tcW w:w="871" w:type="pct"/>
            <w:vAlign w:val="center"/>
          </w:tcPr>
          <w:p w:rsidR="002B3EDF" w:rsidRPr="002B3EDF" w:rsidRDefault="002B3EDF" w:rsidP="00D7731C">
            <w:pPr>
              <w:widowControl/>
              <w:jc w:val="center"/>
              <w:textAlignment w:val="bottom"/>
              <w:rPr>
                <w:rFonts w:ascii="Times New Roman" w:hAnsi="Times New Roman" w:cs="Times New Roman"/>
                <w:b/>
                <w:color w:val="000000"/>
                <w:kern w:val="0"/>
                <w:szCs w:val="21"/>
              </w:rPr>
            </w:pPr>
            <w:r w:rsidRPr="002B3EDF">
              <w:rPr>
                <w:rFonts w:ascii="Times New Roman" w:hAnsi="Times New Roman" w:cs="Times New Roman"/>
                <w:b/>
                <w:color w:val="000000"/>
                <w:kern w:val="0"/>
                <w:szCs w:val="21"/>
              </w:rPr>
              <w:t>2014.12.31</w:t>
            </w:r>
          </w:p>
        </w:tc>
        <w:tc>
          <w:tcPr>
            <w:tcW w:w="870" w:type="pct"/>
            <w:vAlign w:val="center"/>
          </w:tcPr>
          <w:p w:rsidR="002B3EDF" w:rsidRPr="002B3EDF" w:rsidRDefault="002B3EDF" w:rsidP="00D7731C">
            <w:pPr>
              <w:widowControl/>
              <w:jc w:val="center"/>
              <w:textAlignment w:val="bottom"/>
              <w:rPr>
                <w:rFonts w:ascii="Times New Roman" w:hAnsi="Times New Roman" w:cs="Times New Roman"/>
                <w:b/>
                <w:color w:val="000000"/>
                <w:kern w:val="0"/>
                <w:szCs w:val="21"/>
              </w:rPr>
            </w:pPr>
            <w:r w:rsidRPr="002B3EDF">
              <w:rPr>
                <w:rFonts w:ascii="Times New Roman" w:hAnsi="Times New Roman" w:cs="Times New Roman"/>
                <w:b/>
                <w:color w:val="000000"/>
                <w:kern w:val="0"/>
                <w:szCs w:val="21"/>
              </w:rPr>
              <w:t>2013.12.31</w:t>
            </w:r>
          </w:p>
        </w:tc>
        <w:tc>
          <w:tcPr>
            <w:tcW w:w="871" w:type="pct"/>
            <w:vAlign w:val="center"/>
          </w:tcPr>
          <w:p w:rsidR="002B3EDF" w:rsidRPr="002B3EDF" w:rsidRDefault="002B3EDF" w:rsidP="00D7731C">
            <w:pPr>
              <w:widowControl/>
              <w:jc w:val="center"/>
              <w:textAlignment w:val="bottom"/>
              <w:rPr>
                <w:rFonts w:ascii="Times New Roman" w:hAnsi="Times New Roman" w:cs="Times New Roman"/>
                <w:b/>
                <w:color w:val="000000"/>
                <w:kern w:val="0"/>
                <w:szCs w:val="21"/>
              </w:rPr>
            </w:pPr>
            <w:r w:rsidRPr="002B3EDF">
              <w:rPr>
                <w:rFonts w:ascii="Times New Roman" w:hAnsi="Times New Roman" w:cs="Times New Roman"/>
                <w:b/>
                <w:color w:val="000000"/>
                <w:kern w:val="0"/>
                <w:szCs w:val="21"/>
              </w:rPr>
              <w:t>2012.12.31</w:t>
            </w:r>
          </w:p>
        </w:tc>
      </w:tr>
      <w:tr w:rsidR="002B3EDF" w:rsidRPr="00A218FA" w:rsidTr="007537E9">
        <w:trPr>
          <w:trHeight w:val="397"/>
          <w:jc w:val="center"/>
        </w:trPr>
        <w:tc>
          <w:tcPr>
            <w:tcW w:w="1517" w:type="pct"/>
            <w:vAlign w:val="center"/>
          </w:tcPr>
          <w:p w:rsidR="002B3EDF" w:rsidRPr="00A218FA" w:rsidRDefault="002B3EDF" w:rsidP="00D7731C">
            <w:pPr>
              <w:widowControl/>
              <w:rPr>
                <w:kern w:val="0"/>
                <w:szCs w:val="21"/>
              </w:rPr>
            </w:pPr>
            <w:r w:rsidRPr="00A218FA">
              <w:rPr>
                <w:rFonts w:hAnsi="宋体"/>
                <w:kern w:val="0"/>
                <w:szCs w:val="21"/>
              </w:rPr>
              <w:t>流动比率</w:t>
            </w:r>
          </w:p>
        </w:tc>
        <w:tc>
          <w:tcPr>
            <w:tcW w:w="870" w:type="pct"/>
            <w:vAlign w:val="center"/>
          </w:tcPr>
          <w:p w:rsidR="002B3EDF" w:rsidRPr="002B3EDF" w:rsidRDefault="002B3EDF" w:rsidP="00D7731C">
            <w:pPr>
              <w:widowControl/>
              <w:jc w:val="right"/>
              <w:rPr>
                <w:rFonts w:ascii="Times New Roman" w:hAnsi="Times New Roman" w:cs="Times New Roman"/>
                <w:kern w:val="0"/>
                <w:szCs w:val="21"/>
              </w:rPr>
            </w:pPr>
            <w:r w:rsidRPr="002B3EDF">
              <w:rPr>
                <w:rFonts w:ascii="Times New Roman" w:hAnsi="Times New Roman" w:cs="Times New Roman"/>
                <w:kern w:val="0"/>
                <w:szCs w:val="21"/>
              </w:rPr>
              <w:t>2.43</w:t>
            </w:r>
          </w:p>
        </w:tc>
        <w:tc>
          <w:tcPr>
            <w:tcW w:w="871" w:type="pct"/>
            <w:vAlign w:val="center"/>
          </w:tcPr>
          <w:p w:rsidR="002B3EDF" w:rsidRPr="002B3EDF" w:rsidRDefault="002B3EDF" w:rsidP="00D7731C">
            <w:pPr>
              <w:widowControl/>
              <w:jc w:val="right"/>
              <w:textAlignment w:val="bottom"/>
              <w:rPr>
                <w:rFonts w:ascii="Times New Roman" w:hAnsi="Times New Roman" w:cs="Times New Roman"/>
                <w:szCs w:val="21"/>
              </w:rPr>
            </w:pPr>
            <w:r w:rsidRPr="002B3EDF">
              <w:rPr>
                <w:rFonts w:ascii="Times New Roman" w:hAnsi="Times New Roman" w:cs="Times New Roman"/>
                <w:szCs w:val="21"/>
              </w:rPr>
              <w:t>2.06</w:t>
            </w:r>
          </w:p>
        </w:tc>
        <w:tc>
          <w:tcPr>
            <w:tcW w:w="870" w:type="pct"/>
            <w:vAlign w:val="center"/>
          </w:tcPr>
          <w:p w:rsidR="002B3EDF" w:rsidRPr="002B3EDF" w:rsidRDefault="002B3EDF" w:rsidP="00D7731C">
            <w:pPr>
              <w:widowControl/>
              <w:jc w:val="right"/>
              <w:textAlignment w:val="bottom"/>
              <w:rPr>
                <w:rFonts w:ascii="Times New Roman" w:hAnsi="Times New Roman" w:cs="Times New Roman"/>
                <w:color w:val="000000"/>
                <w:kern w:val="0"/>
                <w:szCs w:val="21"/>
              </w:rPr>
            </w:pPr>
            <w:r w:rsidRPr="002B3EDF">
              <w:rPr>
                <w:rFonts w:ascii="Times New Roman" w:hAnsi="Times New Roman" w:cs="Times New Roman"/>
                <w:color w:val="000000"/>
                <w:kern w:val="0"/>
                <w:szCs w:val="21"/>
              </w:rPr>
              <w:t>2.21</w:t>
            </w:r>
          </w:p>
        </w:tc>
        <w:tc>
          <w:tcPr>
            <w:tcW w:w="871" w:type="pct"/>
            <w:vAlign w:val="center"/>
          </w:tcPr>
          <w:p w:rsidR="002B3EDF" w:rsidRPr="002B3EDF" w:rsidRDefault="002B3EDF" w:rsidP="00D7731C">
            <w:pPr>
              <w:widowControl/>
              <w:jc w:val="right"/>
              <w:textAlignment w:val="bottom"/>
              <w:rPr>
                <w:rFonts w:ascii="Times New Roman" w:hAnsi="Times New Roman" w:cs="Times New Roman"/>
                <w:color w:val="000000"/>
                <w:kern w:val="0"/>
                <w:szCs w:val="21"/>
              </w:rPr>
            </w:pPr>
            <w:r w:rsidRPr="002B3EDF">
              <w:rPr>
                <w:rFonts w:ascii="Times New Roman" w:hAnsi="Times New Roman" w:cs="Times New Roman"/>
                <w:color w:val="000000"/>
                <w:kern w:val="0"/>
                <w:szCs w:val="21"/>
              </w:rPr>
              <w:t>1.77</w:t>
            </w:r>
          </w:p>
        </w:tc>
      </w:tr>
      <w:tr w:rsidR="004C0A15" w:rsidRPr="00A218FA" w:rsidTr="007537E9">
        <w:trPr>
          <w:trHeight w:val="397"/>
          <w:jc w:val="center"/>
        </w:trPr>
        <w:tc>
          <w:tcPr>
            <w:tcW w:w="1517" w:type="pct"/>
            <w:vAlign w:val="center"/>
          </w:tcPr>
          <w:p w:rsidR="004C0A15" w:rsidRPr="00A218FA" w:rsidRDefault="004C0A15" w:rsidP="00D7731C">
            <w:pPr>
              <w:widowControl/>
              <w:rPr>
                <w:kern w:val="0"/>
                <w:szCs w:val="21"/>
              </w:rPr>
            </w:pPr>
            <w:r w:rsidRPr="00A218FA">
              <w:rPr>
                <w:rFonts w:hAnsi="宋体"/>
                <w:kern w:val="0"/>
                <w:szCs w:val="21"/>
              </w:rPr>
              <w:t>速动比率</w:t>
            </w:r>
          </w:p>
        </w:tc>
        <w:tc>
          <w:tcPr>
            <w:tcW w:w="870" w:type="pct"/>
            <w:vAlign w:val="center"/>
          </w:tcPr>
          <w:p w:rsidR="004C0A15" w:rsidRPr="00100008" w:rsidRDefault="004C0A15" w:rsidP="004D7470">
            <w:pPr>
              <w:widowControl/>
              <w:jc w:val="right"/>
              <w:rPr>
                <w:rFonts w:ascii="Times New Roman" w:eastAsia="宋体" w:hAnsi="Times New Roman" w:cs="Times New Roman"/>
                <w:kern w:val="0"/>
                <w:szCs w:val="21"/>
              </w:rPr>
            </w:pPr>
            <w:r w:rsidRPr="00100008">
              <w:rPr>
                <w:rFonts w:ascii="Times New Roman" w:eastAsia="宋体" w:hAnsi="Times New Roman" w:cs="Times New Roman" w:hint="eastAsia"/>
                <w:kern w:val="0"/>
                <w:szCs w:val="21"/>
              </w:rPr>
              <w:t>0.</w:t>
            </w:r>
            <w:r>
              <w:rPr>
                <w:rFonts w:ascii="Times New Roman" w:eastAsia="宋体" w:hAnsi="Times New Roman" w:cs="Times New Roman" w:hint="eastAsia"/>
                <w:kern w:val="0"/>
                <w:szCs w:val="21"/>
              </w:rPr>
              <w:t>47</w:t>
            </w:r>
          </w:p>
        </w:tc>
        <w:tc>
          <w:tcPr>
            <w:tcW w:w="871" w:type="pct"/>
            <w:vAlign w:val="center"/>
          </w:tcPr>
          <w:p w:rsidR="004C0A15" w:rsidRPr="00100008" w:rsidRDefault="004C0A15" w:rsidP="004D7470">
            <w:pPr>
              <w:widowControl/>
              <w:jc w:val="right"/>
              <w:textAlignment w:val="bottom"/>
              <w:rPr>
                <w:rFonts w:ascii="Times New Roman" w:eastAsia="宋体" w:hAnsi="Times New Roman" w:cs="Times New Roman"/>
                <w:szCs w:val="21"/>
              </w:rPr>
            </w:pPr>
            <w:r w:rsidRPr="00100008">
              <w:rPr>
                <w:rFonts w:ascii="Times New Roman" w:eastAsia="宋体" w:hAnsi="Times New Roman" w:cs="Times New Roman" w:hint="eastAsia"/>
                <w:szCs w:val="21"/>
              </w:rPr>
              <w:t>0.</w:t>
            </w:r>
            <w:r>
              <w:rPr>
                <w:rFonts w:ascii="Times New Roman" w:eastAsia="宋体" w:hAnsi="Times New Roman" w:cs="Times New Roman" w:hint="eastAsia"/>
                <w:szCs w:val="21"/>
              </w:rPr>
              <w:t>53</w:t>
            </w:r>
          </w:p>
        </w:tc>
        <w:tc>
          <w:tcPr>
            <w:tcW w:w="870" w:type="pct"/>
            <w:vAlign w:val="center"/>
          </w:tcPr>
          <w:p w:rsidR="004C0A15" w:rsidRPr="00100008" w:rsidRDefault="004C0A15" w:rsidP="004D7470">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0.</w:t>
            </w:r>
            <w:r>
              <w:rPr>
                <w:rFonts w:ascii="Times New Roman" w:eastAsia="宋体" w:hAnsi="Times New Roman" w:cs="Times New Roman" w:hint="eastAsia"/>
                <w:color w:val="000000"/>
                <w:kern w:val="0"/>
                <w:szCs w:val="21"/>
              </w:rPr>
              <w:t>64</w:t>
            </w:r>
          </w:p>
        </w:tc>
        <w:tc>
          <w:tcPr>
            <w:tcW w:w="871" w:type="pct"/>
            <w:vAlign w:val="center"/>
          </w:tcPr>
          <w:p w:rsidR="004C0A15" w:rsidRPr="00100008" w:rsidRDefault="004C0A15" w:rsidP="004D7470">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0.</w:t>
            </w:r>
            <w:r>
              <w:rPr>
                <w:rFonts w:ascii="Times New Roman" w:eastAsia="宋体" w:hAnsi="Times New Roman" w:cs="Times New Roman" w:hint="eastAsia"/>
                <w:color w:val="000000"/>
                <w:kern w:val="0"/>
                <w:szCs w:val="21"/>
              </w:rPr>
              <w:t>54</w:t>
            </w:r>
          </w:p>
        </w:tc>
      </w:tr>
      <w:tr w:rsidR="002B3EDF" w:rsidRPr="00A218FA" w:rsidTr="007537E9">
        <w:trPr>
          <w:trHeight w:val="397"/>
          <w:jc w:val="center"/>
        </w:trPr>
        <w:tc>
          <w:tcPr>
            <w:tcW w:w="1517" w:type="pct"/>
            <w:vAlign w:val="center"/>
          </w:tcPr>
          <w:p w:rsidR="002B3EDF" w:rsidRPr="00A218FA" w:rsidRDefault="002B3EDF" w:rsidP="00D7731C">
            <w:pPr>
              <w:widowControl/>
              <w:rPr>
                <w:kern w:val="0"/>
                <w:szCs w:val="21"/>
              </w:rPr>
            </w:pPr>
            <w:r w:rsidRPr="00A218FA">
              <w:rPr>
                <w:rFonts w:hAnsi="宋体"/>
                <w:kern w:val="0"/>
                <w:szCs w:val="21"/>
              </w:rPr>
              <w:t>资产负债率</w:t>
            </w:r>
          </w:p>
        </w:tc>
        <w:tc>
          <w:tcPr>
            <w:tcW w:w="870" w:type="pct"/>
            <w:vAlign w:val="center"/>
          </w:tcPr>
          <w:p w:rsidR="002B3EDF" w:rsidRPr="002B3EDF" w:rsidRDefault="002B3EDF" w:rsidP="00D7731C">
            <w:pPr>
              <w:widowControl/>
              <w:jc w:val="right"/>
              <w:rPr>
                <w:rFonts w:ascii="Times New Roman" w:hAnsi="Times New Roman" w:cs="Times New Roman"/>
                <w:szCs w:val="21"/>
              </w:rPr>
            </w:pPr>
            <w:r w:rsidRPr="002B3EDF">
              <w:rPr>
                <w:rFonts w:ascii="Times New Roman" w:hAnsi="Times New Roman" w:cs="Times New Roman"/>
                <w:szCs w:val="21"/>
              </w:rPr>
              <w:t>67.42%</w:t>
            </w:r>
          </w:p>
        </w:tc>
        <w:tc>
          <w:tcPr>
            <w:tcW w:w="871" w:type="pct"/>
            <w:vAlign w:val="center"/>
          </w:tcPr>
          <w:p w:rsidR="002B3EDF" w:rsidRPr="002B3EDF" w:rsidRDefault="002B3EDF" w:rsidP="00D7731C">
            <w:pPr>
              <w:widowControl/>
              <w:jc w:val="right"/>
              <w:textAlignment w:val="bottom"/>
              <w:rPr>
                <w:rFonts w:ascii="Times New Roman" w:hAnsi="Times New Roman" w:cs="Times New Roman"/>
                <w:color w:val="000000"/>
                <w:kern w:val="0"/>
                <w:szCs w:val="21"/>
              </w:rPr>
            </w:pPr>
            <w:r w:rsidRPr="002B3EDF">
              <w:rPr>
                <w:rFonts w:ascii="Times New Roman" w:hAnsi="Times New Roman" w:cs="Times New Roman"/>
                <w:color w:val="000000"/>
                <w:kern w:val="0"/>
                <w:szCs w:val="21"/>
              </w:rPr>
              <w:t>69.40%</w:t>
            </w:r>
          </w:p>
        </w:tc>
        <w:tc>
          <w:tcPr>
            <w:tcW w:w="870" w:type="pct"/>
            <w:vAlign w:val="center"/>
          </w:tcPr>
          <w:p w:rsidR="002B3EDF" w:rsidRPr="002B3EDF" w:rsidRDefault="002B3EDF" w:rsidP="00D7731C">
            <w:pPr>
              <w:widowControl/>
              <w:jc w:val="right"/>
              <w:textAlignment w:val="bottom"/>
              <w:rPr>
                <w:rFonts w:ascii="Times New Roman" w:hAnsi="Times New Roman" w:cs="Times New Roman"/>
                <w:color w:val="000000"/>
                <w:kern w:val="0"/>
                <w:szCs w:val="21"/>
              </w:rPr>
            </w:pPr>
            <w:r w:rsidRPr="002B3EDF">
              <w:rPr>
                <w:rFonts w:ascii="Times New Roman" w:hAnsi="Times New Roman" w:cs="Times New Roman"/>
                <w:color w:val="000000"/>
                <w:kern w:val="0"/>
                <w:szCs w:val="21"/>
              </w:rPr>
              <w:t>67.85%</w:t>
            </w:r>
          </w:p>
        </w:tc>
        <w:tc>
          <w:tcPr>
            <w:tcW w:w="871" w:type="pct"/>
            <w:vAlign w:val="center"/>
          </w:tcPr>
          <w:p w:rsidR="002B3EDF" w:rsidRPr="002B3EDF" w:rsidRDefault="002B3EDF" w:rsidP="00D7731C">
            <w:pPr>
              <w:widowControl/>
              <w:jc w:val="right"/>
              <w:textAlignment w:val="bottom"/>
              <w:rPr>
                <w:rFonts w:ascii="Times New Roman" w:hAnsi="Times New Roman" w:cs="Times New Roman"/>
                <w:color w:val="000000"/>
                <w:kern w:val="0"/>
                <w:szCs w:val="21"/>
              </w:rPr>
            </w:pPr>
            <w:r w:rsidRPr="002B3EDF">
              <w:rPr>
                <w:rFonts w:ascii="Times New Roman" w:hAnsi="Times New Roman" w:cs="Times New Roman"/>
                <w:color w:val="000000"/>
                <w:kern w:val="0"/>
                <w:szCs w:val="21"/>
              </w:rPr>
              <w:t>69.95%</w:t>
            </w:r>
          </w:p>
        </w:tc>
      </w:tr>
      <w:tr w:rsidR="002B3EDF" w:rsidRPr="00A218FA" w:rsidTr="007537E9">
        <w:trPr>
          <w:trHeight w:val="397"/>
          <w:jc w:val="center"/>
        </w:trPr>
        <w:tc>
          <w:tcPr>
            <w:tcW w:w="1517" w:type="pct"/>
            <w:vAlign w:val="center"/>
          </w:tcPr>
          <w:p w:rsidR="002B3EDF" w:rsidRPr="00A218FA" w:rsidRDefault="002B3EDF" w:rsidP="00D7731C">
            <w:pPr>
              <w:widowControl/>
              <w:rPr>
                <w:kern w:val="0"/>
                <w:szCs w:val="21"/>
              </w:rPr>
            </w:pPr>
            <w:r w:rsidRPr="00A218FA">
              <w:rPr>
                <w:rFonts w:hAnsi="宋体"/>
                <w:kern w:val="0"/>
                <w:szCs w:val="21"/>
              </w:rPr>
              <w:t>应收账款周转率</w:t>
            </w:r>
          </w:p>
        </w:tc>
        <w:tc>
          <w:tcPr>
            <w:tcW w:w="870" w:type="pct"/>
            <w:vAlign w:val="center"/>
          </w:tcPr>
          <w:p w:rsidR="002B3EDF" w:rsidRPr="002B3EDF" w:rsidRDefault="004C0A15" w:rsidP="00D7731C">
            <w:pPr>
              <w:jc w:val="right"/>
              <w:rPr>
                <w:rFonts w:ascii="Times New Roman" w:hAnsi="Times New Roman" w:cs="Times New Roman"/>
                <w:bCs/>
                <w:kern w:val="0"/>
                <w:szCs w:val="21"/>
              </w:rPr>
            </w:pPr>
            <w:r>
              <w:rPr>
                <w:rFonts w:ascii="Times New Roman" w:hAnsi="Times New Roman" w:cs="Times New Roman" w:hint="eastAsia"/>
                <w:bCs/>
                <w:kern w:val="0"/>
                <w:szCs w:val="21"/>
              </w:rPr>
              <w:t>0.99</w:t>
            </w:r>
          </w:p>
        </w:tc>
        <w:tc>
          <w:tcPr>
            <w:tcW w:w="871" w:type="pct"/>
            <w:vAlign w:val="center"/>
          </w:tcPr>
          <w:p w:rsidR="002B3EDF" w:rsidRPr="002B3EDF" w:rsidRDefault="002B3EDF" w:rsidP="00D7731C">
            <w:pPr>
              <w:jc w:val="right"/>
              <w:rPr>
                <w:rFonts w:ascii="Times New Roman" w:hAnsi="Times New Roman" w:cs="Times New Roman"/>
                <w:bCs/>
                <w:kern w:val="0"/>
                <w:szCs w:val="21"/>
              </w:rPr>
            </w:pPr>
            <w:r w:rsidRPr="002B3EDF">
              <w:rPr>
                <w:rFonts w:ascii="Times New Roman" w:hAnsi="Times New Roman" w:cs="Times New Roman"/>
                <w:bCs/>
                <w:kern w:val="0"/>
                <w:szCs w:val="21"/>
              </w:rPr>
              <w:t>21.31</w:t>
            </w:r>
          </w:p>
        </w:tc>
        <w:tc>
          <w:tcPr>
            <w:tcW w:w="870" w:type="pct"/>
            <w:vAlign w:val="center"/>
          </w:tcPr>
          <w:p w:rsidR="002B3EDF" w:rsidRPr="002B3EDF" w:rsidRDefault="002B3EDF" w:rsidP="00D7731C">
            <w:pPr>
              <w:jc w:val="right"/>
              <w:rPr>
                <w:rFonts w:ascii="Times New Roman" w:hAnsi="Times New Roman" w:cs="Times New Roman"/>
                <w:bCs/>
                <w:kern w:val="0"/>
                <w:szCs w:val="21"/>
              </w:rPr>
            </w:pPr>
            <w:r w:rsidRPr="002B3EDF">
              <w:rPr>
                <w:rFonts w:ascii="Times New Roman" w:hAnsi="Times New Roman" w:cs="Times New Roman"/>
                <w:bCs/>
                <w:kern w:val="0"/>
                <w:szCs w:val="21"/>
              </w:rPr>
              <w:t>63.17</w:t>
            </w:r>
          </w:p>
        </w:tc>
        <w:tc>
          <w:tcPr>
            <w:tcW w:w="871" w:type="pct"/>
            <w:vAlign w:val="center"/>
          </w:tcPr>
          <w:p w:rsidR="002B3EDF" w:rsidRPr="002B3EDF" w:rsidRDefault="002B3EDF" w:rsidP="00D7731C">
            <w:pPr>
              <w:jc w:val="right"/>
              <w:rPr>
                <w:rFonts w:ascii="Times New Roman" w:hAnsi="Times New Roman" w:cs="Times New Roman"/>
                <w:bCs/>
                <w:kern w:val="0"/>
                <w:szCs w:val="21"/>
              </w:rPr>
            </w:pPr>
            <w:r w:rsidRPr="002B3EDF">
              <w:rPr>
                <w:rFonts w:ascii="Times New Roman" w:hAnsi="Times New Roman" w:cs="Times New Roman"/>
                <w:bCs/>
                <w:kern w:val="0"/>
                <w:szCs w:val="21"/>
              </w:rPr>
              <w:t>76.28</w:t>
            </w:r>
          </w:p>
        </w:tc>
      </w:tr>
      <w:tr w:rsidR="002B3EDF" w:rsidRPr="00A218FA" w:rsidTr="007537E9">
        <w:trPr>
          <w:trHeight w:val="397"/>
          <w:jc w:val="center"/>
        </w:trPr>
        <w:tc>
          <w:tcPr>
            <w:tcW w:w="1517" w:type="pct"/>
            <w:vAlign w:val="center"/>
          </w:tcPr>
          <w:p w:rsidR="002B3EDF" w:rsidRPr="00A218FA" w:rsidRDefault="005C283A" w:rsidP="00D7731C">
            <w:pPr>
              <w:widowControl/>
              <w:rPr>
                <w:kern w:val="0"/>
                <w:szCs w:val="21"/>
              </w:rPr>
            </w:pPr>
            <w:r>
              <w:rPr>
                <w:rFonts w:hAnsi="宋体" w:hint="eastAsia"/>
                <w:kern w:val="0"/>
                <w:szCs w:val="21"/>
              </w:rPr>
              <w:t>存货</w:t>
            </w:r>
            <w:r w:rsidR="002B3EDF" w:rsidRPr="00A218FA">
              <w:rPr>
                <w:rFonts w:hAnsi="宋体"/>
                <w:kern w:val="0"/>
                <w:szCs w:val="21"/>
              </w:rPr>
              <w:t>周转率</w:t>
            </w:r>
          </w:p>
        </w:tc>
        <w:tc>
          <w:tcPr>
            <w:tcW w:w="870" w:type="pct"/>
            <w:vAlign w:val="center"/>
          </w:tcPr>
          <w:p w:rsidR="002B3EDF" w:rsidRPr="002B3EDF" w:rsidRDefault="002B3EDF" w:rsidP="004C0A15">
            <w:pPr>
              <w:jc w:val="right"/>
              <w:rPr>
                <w:rFonts w:ascii="Times New Roman" w:hAnsi="Times New Roman" w:cs="Times New Roman"/>
                <w:bCs/>
                <w:kern w:val="0"/>
                <w:szCs w:val="21"/>
              </w:rPr>
            </w:pPr>
            <w:r w:rsidRPr="004C0A15">
              <w:rPr>
                <w:rFonts w:ascii="Times New Roman" w:hAnsi="Times New Roman" w:cs="Times New Roman"/>
                <w:bCs/>
                <w:kern w:val="0"/>
                <w:szCs w:val="21"/>
              </w:rPr>
              <w:t>0.0</w:t>
            </w:r>
            <w:r w:rsidR="004C0A15" w:rsidRPr="004C0A15">
              <w:rPr>
                <w:rFonts w:ascii="Times New Roman" w:hAnsi="Times New Roman" w:cs="Times New Roman" w:hint="eastAsia"/>
                <w:bCs/>
                <w:kern w:val="0"/>
                <w:szCs w:val="21"/>
              </w:rPr>
              <w:t>2</w:t>
            </w:r>
          </w:p>
        </w:tc>
        <w:tc>
          <w:tcPr>
            <w:tcW w:w="871" w:type="pct"/>
            <w:vAlign w:val="center"/>
          </w:tcPr>
          <w:p w:rsidR="002B3EDF" w:rsidRPr="002B3EDF" w:rsidRDefault="004C0A15" w:rsidP="004C0A15">
            <w:pPr>
              <w:jc w:val="right"/>
              <w:rPr>
                <w:rFonts w:ascii="Times New Roman" w:hAnsi="Times New Roman" w:cs="Times New Roman"/>
                <w:bCs/>
                <w:kern w:val="0"/>
                <w:szCs w:val="21"/>
              </w:rPr>
            </w:pPr>
            <w:r>
              <w:rPr>
                <w:rFonts w:ascii="Times New Roman" w:hAnsi="Times New Roman" w:cs="Times New Roman"/>
                <w:bCs/>
                <w:kern w:val="0"/>
                <w:szCs w:val="21"/>
              </w:rPr>
              <w:t>0.</w:t>
            </w:r>
            <w:r>
              <w:rPr>
                <w:rFonts w:ascii="Times New Roman" w:hAnsi="Times New Roman" w:cs="Times New Roman" w:hint="eastAsia"/>
                <w:bCs/>
                <w:kern w:val="0"/>
                <w:szCs w:val="21"/>
              </w:rPr>
              <w:t>33</w:t>
            </w:r>
          </w:p>
        </w:tc>
        <w:tc>
          <w:tcPr>
            <w:tcW w:w="870" w:type="pct"/>
            <w:vAlign w:val="center"/>
          </w:tcPr>
          <w:p w:rsidR="002B3EDF" w:rsidRPr="002B3EDF" w:rsidRDefault="002B3EDF" w:rsidP="004C0A15">
            <w:pPr>
              <w:jc w:val="right"/>
              <w:rPr>
                <w:rFonts w:ascii="Times New Roman" w:hAnsi="Times New Roman" w:cs="Times New Roman"/>
                <w:bCs/>
                <w:kern w:val="0"/>
                <w:szCs w:val="21"/>
              </w:rPr>
            </w:pPr>
            <w:r w:rsidRPr="002B3EDF">
              <w:rPr>
                <w:rFonts w:ascii="Times New Roman" w:hAnsi="Times New Roman" w:cs="Times New Roman"/>
                <w:bCs/>
                <w:kern w:val="0"/>
                <w:szCs w:val="21"/>
              </w:rPr>
              <w:t>0.</w:t>
            </w:r>
            <w:r w:rsidR="004C0A15">
              <w:rPr>
                <w:rFonts w:ascii="Times New Roman" w:hAnsi="Times New Roman" w:cs="Times New Roman" w:hint="eastAsia"/>
                <w:bCs/>
                <w:kern w:val="0"/>
                <w:szCs w:val="21"/>
              </w:rPr>
              <w:t>31</w:t>
            </w:r>
          </w:p>
        </w:tc>
        <w:tc>
          <w:tcPr>
            <w:tcW w:w="871" w:type="pct"/>
            <w:vAlign w:val="center"/>
          </w:tcPr>
          <w:p w:rsidR="002B3EDF" w:rsidRPr="002B3EDF" w:rsidRDefault="002B3EDF" w:rsidP="004C0A15">
            <w:pPr>
              <w:jc w:val="right"/>
              <w:rPr>
                <w:rFonts w:ascii="Times New Roman" w:hAnsi="Times New Roman" w:cs="Times New Roman"/>
                <w:bCs/>
                <w:kern w:val="0"/>
                <w:szCs w:val="21"/>
              </w:rPr>
            </w:pPr>
            <w:r w:rsidRPr="002B3EDF">
              <w:rPr>
                <w:rFonts w:ascii="Times New Roman" w:hAnsi="Times New Roman" w:cs="Times New Roman"/>
                <w:bCs/>
                <w:kern w:val="0"/>
                <w:szCs w:val="21"/>
              </w:rPr>
              <w:t>0.</w:t>
            </w:r>
            <w:r w:rsidR="004C0A15">
              <w:rPr>
                <w:rFonts w:ascii="Times New Roman" w:hAnsi="Times New Roman" w:cs="Times New Roman" w:hint="eastAsia"/>
                <w:bCs/>
                <w:kern w:val="0"/>
                <w:szCs w:val="21"/>
              </w:rPr>
              <w:t>34</w:t>
            </w:r>
          </w:p>
        </w:tc>
      </w:tr>
    </w:tbl>
    <w:p w:rsidR="002B3EDF" w:rsidRPr="002B3EDF" w:rsidRDefault="002B3EDF" w:rsidP="008B2F35">
      <w:pPr>
        <w:snapToGrid w:val="0"/>
        <w:spacing w:line="360" w:lineRule="auto"/>
        <w:rPr>
          <w:rFonts w:ascii="Times New Roman" w:hAnsi="Times New Roman" w:cs="Times New Roman"/>
          <w:kern w:val="0"/>
          <w:szCs w:val="21"/>
        </w:rPr>
      </w:pPr>
      <w:r w:rsidRPr="002B3EDF">
        <w:rPr>
          <w:rFonts w:ascii="Times New Roman" w:hAnsi="Times New Roman" w:cs="Times New Roman"/>
          <w:kern w:val="0"/>
          <w:szCs w:val="21"/>
        </w:rPr>
        <w:t>注：</w:t>
      </w:r>
    </w:p>
    <w:p w:rsidR="00B559AA" w:rsidRDefault="002B3EDF" w:rsidP="008B2F35">
      <w:pPr>
        <w:snapToGrid w:val="0"/>
        <w:spacing w:line="360" w:lineRule="auto"/>
        <w:rPr>
          <w:rFonts w:ascii="Times New Roman" w:hAnsi="Times New Roman" w:cs="Times New Roman"/>
          <w:kern w:val="0"/>
          <w:szCs w:val="21"/>
        </w:rPr>
      </w:pPr>
      <w:r w:rsidRPr="002B3EDF">
        <w:rPr>
          <w:rFonts w:ascii="Times New Roman" w:hAnsi="Times New Roman" w:cs="Times New Roman"/>
          <w:kern w:val="0"/>
          <w:szCs w:val="21"/>
        </w:rPr>
        <w:t>（</w:t>
      </w:r>
      <w:r w:rsidRPr="002B3EDF">
        <w:rPr>
          <w:rFonts w:ascii="Times New Roman" w:hAnsi="Times New Roman" w:cs="Times New Roman"/>
          <w:kern w:val="0"/>
          <w:szCs w:val="21"/>
        </w:rPr>
        <w:t>1</w:t>
      </w:r>
      <w:r w:rsidRPr="002B3EDF">
        <w:rPr>
          <w:rFonts w:ascii="Times New Roman" w:hAnsi="Times New Roman" w:cs="Times New Roman"/>
          <w:kern w:val="0"/>
          <w:szCs w:val="21"/>
        </w:rPr>
        <w:t>）流动比率</w:t>
      </w:r>
      <w:r w:rsidRPr="002B3EDF">
        <w:rPr>
          <w:rFonts w:ascii="Times New Roman" w:hAnsi="Times New Roman" w:cs="Times New Roman"/>
          <w:kern w:val="0"/>
          <w:szCs w:val="21"/>
        </w:rPr>
        <w:t>=</w:t>
      </w:r>
      <w:r w:rsidRPr="002B3EDF">
        <w:rPr>
          <w:rFonts w:ascii="Times New Roman" w:hAnsi="Times New Roman" w:cs="Times New Roman"/>
          <w:kern w:val="0"/>
          <w:szCs w:val="21"/>
        </w:rPr>
        <w:t>流动资产</w:t>
      </w:r>
      <w:r w:rsidRPr="002B3EDF">
        <w:rPr>
          <w:rFonts w:ascii="Times New Roman" w:hAnsi="Times New Roman" w:cs="Times New Roman"/>
          <w:kern w:val="0"/>
          <w:szCs w:val="21"/>
        </w:rPr>
        <w:t>/</w:t>
      </w:r>
      <w:r w:rsidRPr="002B3EDF">
        <w:rPr>
          <w:rFonts w:ascii="Times New Roman" w:hAnsi="Times New Roman" w:cs="Times New Roman"/>
          <w:kern w:val="0"/>
          <w:szCs w:val="21"/>
        </w:rPr>
        <w:t>流动负债</w:t>
      </w:r>
    </w:p>
    <w:p w:rsidR="002B2017" w:rsidRDefault="002B3EDF" w:rsidP="008B2F35">
      <w:pPr>
        <w:snapToGrid w:val="0"/>
        <w:spacing w:line="360" w:lineRule="auto"/>
        <w:outlineLvl w:val="0"/>
        <w:rPr>
          <w:rFonts w:ascii="Times New Roman" w:hAnsi="Times New Roman" w:cs="Times New Roman"/>
          <w:kern w:val="0"/>
          <w:szCs w:val="21"/>
        </w:rPr>
      </w:pPr>
      <w:r w:rsidRPr="002B3EDF">
        <w:rPr>
          <w:rFonts w:ascii="Times New Roman" w:hAnsi="Times New Roman" w:cs="Times New Roman"/>
          <w:kern w:val="0"/>
          <w:szCs w:val="21"/>
        </w:rPr>
        <w:t>（</w:t>
      </w:r>
      <w:r w:rsidRPr="002B3EDF">
        <w:rPr>
          <w:rFonts w:ascii="Times New Roman" w:hAnsi="Times New Roman" w:cs="Times New Roman"/>
          <w:kern w:val="0"/>
          <w:szCs w:val="21"/>
        </w:rPr>
        <w:t>2</w:t>
      </w:r>
      <w:r w:rsidRPr="002B3EDF">
        <w:rPr>
          <w:rFonts w:ascii="Times New Roman" w:hAnsi="Times New Roman" w:cs="Times New Roman"/>
          <w:kern w:val="0"/>
          <w:szCs w:val="21"/>
        </w:rPr>
        <w:t>）速动比率</w:t>
      </w:r>
      <w:r w:rsidRPr="002B3EDF">
        <w:rPr>
          <w:rFonts w:ascii="Times New Roman" w:hAnsi="Times New Roman" w:cs="Times New Roman"/>
          <w:kern w:val="0"/>
          <w:szCs w:val="21"/>
        </w:rPr>
        <w:t>=</w:t>
      </w:r>
      <w:r w:rsidRPr="002B3EDF">
        <w:rPr>
          <w:rFonts w:ascii="Times New Roman" w:hAnsi="Times New Roman" w:cs="Times New Roman"/>
          <w:kern w:val="0"/>
          <w:szCs w:val="21"/>
        </w:rPr>
        <w:t>（流动资产</w:t>
      </w:r>
      <w:r w:rsidRPr="002B3EDF">
        <w:rPr>
          <w:rFonts w:ascii="Times New Roman" w:hAnsi="Times New Roman" w:cs="Times New Roman"/>
          <w:kern w:val="0"/>
          <w:szCs w:val="21"/>
        </w:rPr>
        <w:t>-</w:t>
      </w:r>
      <w:r w:rsidRPr="002B3EDF">
        <w:rPr>
          <w:rFonts w:ascii="Times New Roman" w:hAnsi="Times New Roman" w:cs="Times New Roman"/>
          <w:kern w:val="0"/>
          <w:szCs w:val="21"/>
        </w:rPr>
        <w:t>存货）</w:t>
      </w:r>
      <w:r w:rsidRPr="002B3EDF">
        <w:rPr>
          <w:rFonts w:ascii="Times New Roman" w:hAnsi="Times New Roman" w:cs="Times New Roman"/>
          <w:kern w:val="0"/>
          <w:szCs w:val="21"/>
        </w:rPr>
        <w:t>/</w:t>
      </w:r>
      <w:r w:rsidRPr="002B3EDF">
        <w:rPr>
          <w:rFonts w:ascii="Times New Roman" w:hAnsi="Times New Roman" w:cs="Times New Roman"/>
          <w:kern w:val="0"/>
          <w:szCs w:val="21"/>
        </w:rPr>
        <w:t>流动负债</w:t>
      </w:r>
    </w:p>
    <w:p w:rsidR="002B2017" w:rsidRDefault="002B3EDF" w:rsidP="008B2F35">
      <w:pPr>
        <w:snapToGrid w:val="0"/>
        <w:spacing w:line="360" w:lineRule="auto"/>
        <w:rPr>
          <w:rFonts w:ascii="Times New Roman" w:hAnsi="Times New Roman" w:cs="Times New Roman"/>
          <w:kern w:val="0"/>
          <w:szCs w:val="21"/>
        </w:rPr>
      </w:pPr>
      <w:r w:rsidRPr="002B3EDF">
        <w:rPr>
          <w:rFonts w:ascii="Times New Roman" w:hAnsi="Times New Roman" w:cs="Times New Roman"/>
          <w:kern w:val="0"/>
          <w:szCs w:val="21"/>
        </w:rPr>
        <w:t>（</w:t>
      </w:r>
      <w:r w:rsidRPr="002B3EDF">
        <w:rPr>
          <w:rFonts w:ascii="Times New Roman" w:hAnsi="Times New Roman" w:cs="Times New Roman"/>
          <w:kern w:val="0"/>
          <w:szCs w:val="21"/>
        </w:rPr>
        <w:t>3</w:t>
      </w:r>
      <w:r w:rsidRPr="002B3EDF">
        <w:rPr>
          <w:rFonts w:ascii="Times New Roman" w:hAnsi="Times New Roman" w:cs="Times New Roman"/>
          <w:kern w:val="0"/>
          <w:szCs w:val="21"/>
        </w:rPr>
        <w:t>）资产负债率</w:t>
      </w:r>
      <w:r w:rsidRPr="002B3EDF">
        <w:rPr>
          <w:rFonts w:ascii="Times New Roman" w:hAnsi="Times New Roman" w:cs="Times New Roman"/>
          <w:kern w:val="0"/>
          <w:szCs w:val="21"/>
        </w:rPr>
        <w:t>=</w:t>
      </w:r>
      <w:r w:rsidRPr="002B3EDF">
        <w:rPr>
          <w:rFonts w:ascii="Times New Roman" w:hAnsi="Times New Roman" w:cs="Times New Roman"/>
          <w:kern w:val="0"/>
          <w:szCs w:val="21"/>
        </w:rPr>
        <w:t>负债总额</w:t>
      </w:r>
      <w:r w:rsidRPr="002B3EDF">
        <w:rPr>
          <w:rFonts w:ascii="Times New Roman" w:hAnsi="Times New Roman" w:cs="Times New Roman"/>
          <w:kern w:val="0"/>
          <w:szCs w:val="21"/>
        </w:rPr>
        <w:t>/</w:t>
      </w:r>
      <w:r w:rsidRPr="002B3EDF">
        <w:rPr>
          <w:rFonts w:ascii="Times New Roman" w:hAnsi="Times New Roman" w:cs="Times New Roman"/>
          <w:kern w:val="0"/>
          <w:szCs w:val="21"/>
        </w:rPr>
        <w:t>资产总额</w:t>
      </w:r>
    </w:p>
    <w:p w:rsidR="002B2017" w:rsidRDefault="002B3EDF" w:rsidP="008B2F35">
      <w:pPr>
        <w:snapToGrid w:val="0"/>
        <w:spacing w:line="360" w:lineRule="auto"/>
        <w:rPr>
          <w:rFonts w:ascii="Times New Roman" w:hAnsi="Times New Roman" w:cs="Times New Roman"/>
          <w:kern w:val="0"/>
          <w:szCs w:val="21"/>
        </w:rPr>
      </w:pPr>
      <w:r w:rsidRPr="002B3EDF">
        <w:rPr>
          <w:rFonts w:ascii="Times New Roman" w:hAnsi="Times New Roman" w:cs="Times New Roman"/>
          <w:kern w:val="0"/>
          <w:szCs w:val="21"/>
        </w:rPr>
        <w:t>（</w:t>
      </w:r>
      <w:r w:rsidRPr="002B3EDF">
        <w:rPr>
          <w:rFonts w:ascii="Times New Roman" w:hAnsi="Times New Roman" w:cs="Times New Roman"/>
          <w:kern w:val="0"/>
          <w:szCs w:val="21"/>
        </w:rPr>
        <w:t>4</w:t>
      </w:r>
      <w:r w:rsidRPr="002B3EDF">
        <w:rPr>
          <w:rFonts w:ascii="Times New Roman" w:hAnsi="Times New Roman" w:cs="Times New Roman"/>
          <w:kern w:val="0"/>
          <w:szCs w:val="21"/>
        </w:rPr>
        <w:t>）应收</w:t>
      </w:r>
      <w:r w:rsidR="00E91F2C">
        <w:rPr>
          <w:rFonts w:ascii="Times New Roman" w:hAnsi="Times New Roman" w:cs="Times New Roman"/>
          <w:kern w:val="0"/>
          <w:szCs w:val="21"/>
        </w:rPr>
        <w:t>账款</w:t>
      </w:r>
      <w:r w:rsidRPr="002B3EDF">
        <w:rPr>
          <w:rFonts w:ascii="Times New Roman" w:hAnsi="Times New Roman" w:cs="Times New Roman"/>
          <w:kern w:val="0"/>
          <w:szCs w:val="21"/>
        </w:rPr>
        <w:t>周转率</w:t>
      </w:r>
      <w:r w:rsidRPr="002B3EDF">
        <w:rPr>
          <w:rFonts w:ascii="Times New Roman" w:hAnsi="Times New Roman" w:cs="Times New Roman"/>
          <w:kern w:val="0"/>
          <w:szCs w:val="21"/>
        </w:rPr>
        <w:t>=</w:t>
      </w:r>
      <w:r w:rsidRPr="002B3EDF">
        <w:rPr>
          <w:rFonts w:ascii="Times New Roman" w:hAnsi="Times New Roman" w:cs="Times New Roman"/>
          <w:kern w:val="0"/>
          <w:szCs w:val="21"/>
        </w:rPr>
        <w:t>营业收入</w:t>
      </w:r>
      <w:r w:rsidRPr="002B3EDF">
        <w:rPr>
          <w:rFonts w:ascii="Times New Roman" w:hAnsi="Times New Roman" w:cs="Times New Roman"/>
          <w:kern w:val="0"/>
          <w:szCs w:val="21"/>
        </w:rPr>
        <w:t>/</w:t>
      </w:r>
      <w:r w:rsidR="004C0A15">
        <w:rPr>
          <w:rFonts w:ascii="Times New Roman" w:hAnsi="Times New Roman" w:cs="Times New Roman"/>
          <w:kern w:val="0"/>
          <w:szCs w:val="21"/>
        </w:rPr>
        <w:t>应收账款平均余额</w:t>
      </w:r>
    </w:p>
    <w:p w:rsidR="002B2017" w:rsidRDefault="002B3EDF" w:rsidP="008B2F35">
      <w:pPr>
        <w:snapToGrid w:val="0"/>
        <w:spacing w:line="360" w:lineRule="auto"/>
        <w:rPr>
          <w:rFonts w:ascii="Times New Roman" w:hAnsi="Times New Roman" w:cs="Times New Roman"/>
          <w:szCs w:val="21"/>
        </w:rPr>
      </w:pPr>
      <w:r w:rsidRPr="002B3EDF">
        <w:rPr>
          <w:rFonts w:ascii="Times New Roman" w:hAnsi="Times New Roman" w:cs="Times New Roman"/>
          <w:kern w:val="0"/>
          <w:szCs w:val="21"/>
        </w:rPr>
        <w:t>（</w:t>
      </w:r>
      <w:r w:rsidRPr="002B3EDF">
        <w:rPr>
          <w:rFonts w:ascii="Times New Roman" w:hAnsi="Times New Roman" w:cs="Times New Roman"/>
          <w:kern w:val="0"/>
          <w:szCs w:val="21"/>
        </w:rPr>
        <w:t>5</w:t>
      </w:r>
      <w:r w:rsidR="005C283A">
        <w:rPr>
          <w:rFonts w:ascii="Times New Roman" w:hAnsi="Times New Roman" w:cs="Times New Roman"/>
          <w:kern w:val="0"/>
          <w:szCs w:val="21"/>
        </w:rPr>
        <w:t>）存货</w:t>
      </w:r>
      <w:r w:rsidRPr="002B3EDF">
        <w:rPr>
          <w:rFonts w:ascii="Times New Roman" w:hAnsi="Times New Roman" w:cs="Times New Roman"/>
          <w:kern w:val="0"/>
          <w:szCs w:val="21"/>
        </w:rPr>
        <w:t>周转率</w:t>
      </w:r>
      <w:r w:rsidRPr="002B3EDF">
        <w:rPr>
          <w:rFonts w:ascii="Times New Roman" w:hAnsi="Times New Roman" w:cs="Times New Roman"/>
          <w:kern w:val="0"/>
          <w:szCs w:val="21"/>
        </w:rPr>
        <w:t>=</w:t>
      </w:r>
      <w:r w:rsidR="005C283A">
        <w:rPr>
          <w:rFonts w:ascii="Times New Roman" w:hAnsi="Times New Roman" w:cs="Times New Roman"/>
          <w:kern w:val="0"/>
          <w:szCs w:val="21"/>
        </w:rPr>
        <w:t>营业成本</w:t>
      </w:r>
      <w:r w:rsidRPr="002B3EDF">
        <w:rPr>
          <w:rFonts w:ascii="Times New Roman" w:hAnsi="Times New Roman" w:cs="Times New Roman"/>
          <w:kern w:val="0"/>
          <w:szCs w:val="21"/>
        </w:rPr>
        <w:t>/</w:t>
      </w:r>
      <w:r w:rsidR="004C0A15">
        <w:rPr>
          <w:rFonts w:ascii="Times New Roman" w:hAnsi="Times New Roman" w:cs="Times New Roman"/>
          <w:kern w:val="0"/>
          <w:szCs w:val="21"/>
        </w:rPr>
        <w:t>存货平均余额</w:t>
      </w:r>
    </w:p>
    <w:p w:rsidR="002B3EDF" w:rsidRPr="002B3EDF" w:rsidRDefault="002B3EDF" w:rsidP="002B3EDF">
      <w:pPr>
        <w:autoSpaceDE w:val="0"/>
        <w:autoSpaceDN w:val="0"/>
        <w:adjustRightInd w:val="0"/>
        <w:spacing w:line="360" w:lineRule="auto"/>
        <w:ind w:firstLineChars="200" w:firstLine="482"/>
        <w:jc w:val="left"/>
        <w:rPr>
          <w:rFonts w:ascii="Times New Roman" w:hAnsi="Times New Roman" w:cs="Times New Roman"/>
          <w:b/>
          <w:sz w:val="24"/>
          <w:szCs w:val="24"/>
        </w:rPr>
      </w:pPr>
      <w:r w:rsidRPr="002B3EDF">
        <w:rPr>
          <w:rFonts w:hint="eastAsia"/>
          <w:b/>
          <w:sz w:val="24"/>
          <w:szCs w:val="24"/>
        </w:rPr>
        <w:t>（四）管理层简明财务分析</w:t>
      </w:r>
    </w:p>
    <w:p w:rsidR="002B3EDF" w:rsidRPr="002B3EDF" w:rsidRDefault="002B3EDF" w:rsidP="002B3EDF">
      <w:pPr>
        <w:autoSpaceDE w:val="0"/>
        <w:autoSpaceDN w:val="0"/>
        <w:adjustRightInd w:val="0"/>
        <w:spacing w:line="360" w:lineRule="auto"/>
        <w:ind w:firstLineChars="200" w:firstLine="480"/>
        <w:jc w:val="left"/>
        <w:rPr>
          <w:rFonts w:ascii="宋体" w:eastAsia="宋体" w:cs="宋体"/>
          <w:color w:val="000000"/>
          <w:kern w:val="0"/>
          <w:sz w:val="24"/>
          <w:szCs w:val="24"/>
        </w:rPr>
      </w:pPr>
      <w:r w:rsidRPr="002B3EDF">
        <w:rPr>
          <w:rFonts w:ascii="宋体" w:eastAsia="宋体" w:cs="宋体" w:hint="eastAsia"/>
          <w:color w:val="000000"/>
          <w:kern w:val="0"/>
          <w:sz w:val="24"/>
          <w:szCs w:val="24"/>
        </w:rPr>
        <w:t>公司管理层结合公司最近三年及一期合并口径财务报表，对公司资产负债结构、现金流量、盈利能力、未来业务目标以及盈利能力的可持续性进行了如下分析：</w:t>
      </w:r>
    </w:p>
    <w:p w:rsidR="002B3EDF" w:rsidRPr="002B3EDF" w:rsidRDefault="002B3EDF" w:rsidP="002B3EDF">
      <w:pPr>
        <w:autoSpaceDE w:val="0"/>
        <w:autoSpaceDN w:val="0"/>
        <w:adjustRightInd w:val="0"/>
        <w:spacing w:line="360" w:lineRule="auto"/>
        <w:ind w:firstLineChars="200" w:firstLine="480"/>
        <w:jc w:val="left"/>
        <w:rPr>
          <w:rFonts w:ascii="宋体" w:eastAsia="宋体" w:hAnsi="Times New Roman" w:cs="宋体"/>
          <w:color w:val="000000"/>
          <w:kern w:val="0"/>
          <w:sz w:val="24"/>
          <w:szCs w:val="24"/>
        </w:rPr>
      </w:pPr>
      <w:r w:rsidRPr="002B3EDF">
        <w:rPr>
          <w:rFonts w:ascii="Times New Roman" w:eastAsia="宋体" w:hAnsi="Times New Roman" w:cs="Times New Roman"/>
          <w:color w:val="000000"/>
          <w:kern w:val="0"/>
          <w:sz w:val="24"/>
          <w:szCs w:val="24"/>
        </w:rPr>
        <w:t>1</w:t>
      </w:r>
      <w:r w:rsidRPr="002B3EDF">
        <w:rPr>
          <w:rFonts w:ascii="宋体" w:eastAsia="宋体" w:hAnsi="Times New Roman" w:cs="宋体" w:hint="eastAsia"/>
          <w:color w:val="000000"/>
          <w:kern w:val="0"/>
          <w:sz w:val="24"/>
          <w:szCs w:val="24"/>
        </w:rPr>
        <w:t>、资产结构分析：</w:t>
      </w:r>
    </w:p>
    <w:p w:rsidR="002B3EDF" w:rsidRDefault="004D50BB" w:rsidP="002B3EDF">
      <w:pPr>
        <w:autoSpaceDE w:val="0"/>
        <w:autoSpaceDN w:val="0"/>
        <w:adjustRightInd w:val="0"/>
        <w:spacing w:line="360" w:lineRule="auto"/>
        <w:ind w:firstLineChars="200" w:firstLine="480"/>
        <w:jc w:val="left"/>
        <w:rPr>
          <w:rFonts w:ascii="宋体" w:eastAsia="宋体" w:hAnsi="Times New Roman" w:cs="宋体"/>
          <w:color w:val="000000"/>
          <w:kern w:val="0"/>
          <w:sz w:val="24"/>
          <w:szCs w:val="24"/>
        </w:rPr>
      </w:pPr>
      <w:r>
        <w:rPr>
          <w:rFonts w:ascii="宋体" w:eastAsia="宋体" w:hAnsi="Times New Roman" w:cs="宋体" w:hint="eastAsia"/>
          <w:color w:val="000000"/>
          <w:kern w:val="0"/>
          <w:sz w:val="24"/>
          <w:szCs w:val="24"/>
        </w:rPr>
        <w:t>公司最近三年及</w:t>
      </w:r>
      <w:proofErr w:type="gramStart"/>
      <w:r>
        <w:rPr>
          <w:rFonts w:ascii="宋体" w:eastAsia="宋体" w:hAnsi="Times New Roman" w:cs="宋体" w:hint="eastAsia"/>
          <w:color w:val="000000"/>
          <w:kern w:val="0"/>
          <w:sz w:val="24"/>
          <w:szCs w:val="24"/>
        </w:rPr>
        <w:t>一</w:t>
      </w:r>
      <w:proofErr w:type="gramEnd"/>
      <w:r>
        <w:rPr>
          <w:rFonts w:ascii="宋体" w:eastAsia="宋体" w:hAnsi="Times New Roman" w:cs="宋体" w:hint="eastAsia"/>
          <w:color w:val="000000"/>
          <w:kern w:val="0"/>
          <w:sz w:val="24"/>
          <w:szCs w:val="24"/>
        </w:rPr>
        <w:t>期末资产构成情况如</w:t>
      </w:r>
      <w:r w:rsidR="002B3EDF" w:rsidRPr="002B3EDF">
        <w:rPr>
          <w:rFonts w:ascii="宋体" w:eastAsia="宋体" w:hAnsi="Times New Roman" w:cs="宋体" w:hint="eastAsia"/>
          <w:color w:val="000000"/>
          <w:kern w:val="0"/>
          <w:sz w:val="24"/>
          <w:szCs w:val="24"/>
        </w:rPr>
        <w:t>表</w:t>
      </w:r>
      <w:r w:rsidR="00263608">
        <w:rPr>
          <w:rFonts w:ascii="Times New Roman" w:eastAsia="宋体" w:hAnsi="Times New Roman" w:cs="Times New Roman" w:hint="eastAsia"/>
          <w:color w:val="000000"/>
          <w:kern w:val="0"/>
          <w:sz w:val="24"/>
          <w:szCs w:val="24"/>
        </w:rPr>
        <w:t>8</w:t>
      </w:r>
      <w:r w:rsidR="002B3EDF" w:rsidRPr="002B3EDF">
        <w:rPr>
          <w:rFonts w:ascii="宋体" w:eastAsia="宋体" w:hAnsi="Times New Roman" w:cs="宋体" w:hint="eastAsia"/>
          <w:color w:val="000000"/>
          <w:kern w:val="0"/>
          <w:sz w:val="24"/>
          <w:szCs w:val="24"/>
        </w:rPr>
        <w:t>所示：</w:t>
      </w:r>
    </w:p>
    <w:p w:rsidR="002B3EDF" w:rsidRPr="002B3EDF" w:rsidRDefault="002B3EDF" w:rsidP="00B862E5">
      <w:pPr>
        <w:autoSpaceDE w:val="0"/>
        <w:autoSpaceDN w:val="0"/>
        <w:adjustRightInd w:val="0"/>
        <w:jc w:val="center"/>
        <w:rPr>
          <w:rFonts w:ascii="Times New Roman" w:eastAsia="宋体" w:hAnsi="Times New Roman" w:cs="Times New Roman"/>
          <w:b/>
          <w:color w:val="000000"/>
          <w:kern w:val="0"/>
          <w:sz w:val="24"/>
          <w:szCs w:val="24"/>
        </w:rPr>
      </w:pPr>
      <w:r w:rsidRPr="002B3EDF">
        <w:rPr>
          <w:rFonts w:ascii="Times New Roman" w:eastAsia="宋体" w:hAnsi="Times New Roman" w:cs="Times New Roman"/>
          <w:b/>
          <w:color w:val="000000"/>
          <w:kern w:val="0"/>
          <w:sz w:val="24"/>
          <w:szCs w:val="24"/>
        </w:rPr>
        <w:lastRenderedPageBreak/>
        <w:t>表</w:t>
      </w:r>
      <w:r w:rsidR="00263608">
        <w:rPr>
          <w:rFonts w:ascii="Times New Roman" w:eastAsia="宋体" w:hAnsi="Times New Roman" w:cs="Times New Roman" w:hint="eastAsia"/>
          <w:b/>
          <w:bCs/>
          <w:color w:val="000000"/>
          <w:kern w:val="0"/>
          <w:sz w:val="24"/>
          <w:szCs w:val="24"/>
        </w:rPr>
        <w:t>8</w:t>
      </w:r>
      <w:r w:rsidRPr="002B3EDF">
        <w:rPr>
          <w:rFonts w:ascii="Times New Roman" w:eastAsia="宋体" w:hAnsi="Times New Roman" w:cs="Times New Roman"/>
          <w:b/>
          <w:color w:val="000000"/>
          <w:kern w:val="0"/>
          <w:sz w:val="24"/>
          <w:szCs w:val="24"/>
        </w:rPr>
        <w:t>：公司最近三年及</w:t>
      </w:r>
      <w:proofErr w:type="gramStart"/>
      <w:r w:rsidRPr="002B3EDF">
        <w:rPr>
          <w:rFonts w:ascii="Times New Roman" w:eastAsia="宋体" w:hAnsi="Times New Roman" w:cs="Times New Roman"/>
          <w:b/>
          <w:color w:val="000000"/>
          <w:kern w:val="0"/>
          <w:sz w:val="24"/>
          <w:szCs w:val="24"/>
        </w:rPr>
        <w:t>一</w:t>
      </w:r>
      <w:proofErr w:type="gramEnd"/>
      <w:r w:rsidRPr="002B3EDF">
        <w:rPr>
          <w:rFonts w:ascii="Times New Roman" w:eastAsia="宋体" w:hAnsi="Times New Roman" w:cs="Times New Roman"/>
          <w:b/>
          <w:color w:val="000000"/>
          <w:kern w:val="0"/>
          <w:sz w:val="24"/>
          <w:szCs w:val="24"/>
        </w:rPr>
        <w:t>期末主要资产构成情况表</w:t>
      </w:r>
    </w:p>
    <w:p w:rsidR="002B3EDF" w:rsidRPr="004D50BB" w:rsidRDefault="002B3EDF" w:rsidP="00B862E5">
      <w:pPr>
        <w:autoSpaceDE w:val="0"/>
        <w:autoSpaceDN w:val="0"/>
        <w:adjustRightInd w:val="0"/>
        <w:ind w:firstLineChars="200" w:firstLine="422"/>
        <w:jc w:val="right"/>
        <w:rPr>
          <w:rFonts w:ascii="Times New Roman" w:eastAsia="宋体" w:hAnsi="Times New Roman" w:cs="Times New Roman"/>
          <w:b/>
          <w:color w:val="000000"/>
          <w:kern w:val="0"/>
          <w:szCs w:val="21"/>
        </w:rPr>
      </w:pPr>
      <w:r w:rsidRPr="004D50BB">
        <w:rPr>
          <w:rFonts w:ascii="宋体" w:eastAsia="宋体" w:hAnsi="Times New Roman" w:cs="宋体" w:hint="eastAsia"/>
          <w:b/>
          <w:color w:val="000000"/>
          <w:kern w:val="0"/>
          <w:szCs w:val="21"/>
        </w:rPr>
        <w:t>单位：万元</w:t>
      </w:r>
      <w:r w:rsidR="001111F5" w:rsidRPr="004D50BB">
        <w:rPr>
          <w:rFonts w:ascii="宋体" w:eastAsia="宋体" w:hAnsi="Times New Roman" w:cs="宋体" w:hint="eastAsia"/>
          <w:b/>
          <w:color w:val="000000"/>
          <w:kern w:val="0"/>
          <w:szCs w:val="21"/>
        </w:rPr>
        <w:t>、</w:t>
      </w:r>
      <w:r w:rsidR="001111F5" w:rsidRPr="004D50BB">
        <w:rPr>
          <w:rFonts w:ascii="Times New Roman" w:eastAsia="宋体" w:hAnsi="Times New Roman" w:cs="Times New Roman"/>
          <w:b/>
          <w:color w:val="000000"/>
          <w:kern w:val="0"/>
          <w:szCs w:val="21"/>
        </w:rPr>
        <w:t>%</w:t>
      </w:r>
    </w:p>
    <w:tbl>
      <w:tblPr>
        <w:tblW w:w="1060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firstRow="0" w:lastRow="0" w:firstColumn="0" w:lastColumn="0" w:noHBand="0" w:noVBand="0"/>
      </w:tblPr>
      <w:tblGrid>
        <w:gridCol w:w="1531"/>
        <w:gridCol w:w="1474"/>
        <w:gridCol w:w="794"/>
        <w:gridCol w:w="1474"/>
        <w:gridCol w:w="794"/>
        <w:gridCol w:w="1474"/>
        <w:gridCol w:w="794"/>
        <w:gridCol w:w="1474"/>
        <w:gridCol w:w="794"/>
      </w:tblGrid>
      <w:tr w:rsidR="00B862E5" w:rsidRPr="006C5D73" w:rsidTr="00B862E5">
        <w:trPr>
          <w:trHeight w:val="397"/>
          <w:jc w:val="center"/>
        </w:trPr>
        <w:tc>
          <w:tcPr>
            <w:tcW w:w="1531" w:type="dxa"/>
            <w:vMerge w:val="restart"/>
            <w:vAlign w:val="center"/>
          </w:tcPr>
          <w:p w:rsidR="00B862E5" w:rsidRPr="00B862E5" w:rsidRDefault="00B862E5" w:rsidP="00B862E5">
            <w:pPr>
              <w:jc w:val="center"/>
              <w:textAlignment w:val="bottom"/>
              <w:rPr>
                <w:rFonts w:ascii="Times New Roman" w:hAnsi="Times New Roman" w:cs="Times New Roman"/>
                <w:b/>
                <w:color w:val="000000"/>
                <w:kern w:val="0"/>
                <w:szCs w:val="21"/>
              </w:rPr>
            </w:pPr>
            <w:r w:rsidRPr="00B862E5">
              <w:rPr>
                <w:rFonts w:ascii="Times New Roman" w:hAnsi="Times New Roman" w:cs="Times New Roman"/>
                <w:b/>
                <w:color w:val="000000"/>
                <w:kern w:val="0"/>
                <w:szCs w:val="21"/>
              </w:rPr>
              <w:t>项目</w:t>
            </w:r>
          </w:p>
        </w:tc>
        <w:tc>
          <w:tcPr>
            <w:tcW w:w="2268" w:type="dxa"/>
            <w:gridSpan w:val="2"/>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hint="eastAsia"/>
                <w:b/>
                <w:color w:val="000000"/>
                <w:szCs w:val="21"/>
              </w:rPr>
              <w:t>2015.3.31</w:t>
            </w:r>
          </w:p>
        </w:tc>
        <w:tc>
          <w:tcPr>
            <w:tcW w:w="2268" w:type="dxa"/>
            <w:gridSpan w:val="2"/>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hint="eastAsia"/>
                <w:b/>
                <w:color w:val="000000"/>
                <w:szCs w:val="21"/>
              </w:rPr>
              <w:t>2014.12.31</w:t>
            </w:r>
          </w:p>
        </w:tc>
        <w:tc>
          <w:tcPr>
            <w:tcW w:w="2268" w:type="dxa"/>
            <w:gridSpan w:val="2"/>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hint="eastAsia"/>
                <w:b/>
                <w:color w:val="000000"/>
                <w:szCs w:val="21"/>
              </w:rPr>
              <w:t>2013.12.31</w:t>
            </w:r>
          </w:p>
        </w:tc>
        <w:tc>
          <w:tcPr>
            <w:tcW w:w="2268" w:type="dxa"/>
            <w:gridSpan w:val="2"/>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hint="eastAsia"/>
                <w:b/>
                <w:color w:val="000000"/>
                <w:szCs w:val="21"/>
              </w:rPr>
              <w:t>2012.12.32</w:t>
            </w:r>
          </w:p>
        </w:tc>
      </w:tr>
      <w:tr w:rsidR="00B862E5" w:rsidRPr="006C5D73" w:rsidTr="00B862E5">
        <w:trPr>
          <w:trHeight w:val="397"/>
          <w:jc w:val="center"/>
        </w:trPr>
        <w:tc>
          <w:tcPr>
            <w:tcW w:w="1531" w:type="dxa"/>
            <w:vMerge/>
            <w:vAlign w:val="center"/>
          </w:tcPr>
          <w:p w:rsidR="00B862E5" w:rsidRPr="00B862E5" w:rsidRDefault="00B862E5" w:rsidP="00B862E5">
            <w:pPr>
              <w:widowControl/>
              <w:jc w:val="center"/>
              <w:textAlignment w:val="bottom"/>
              <w:rPr>
                <w:rFonts w:ascii="Times New Roman" w:hAnsi="Times New Roman" w:cs="Times New Roman"/>
                <w:b/>
                <w:color w:val="000000"/>
                <w:kern w:val="0"/>
                <w:szCs w:val="21"/>
              </w:rPr>
            </w:pPr>
          </w:p>
        </w:tc>
        <w:tc>
          <w:tcPr>
            <w:tcW w:w="147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金额</w:t>
            </w:r>
          </w:p>
        </w:tc>
        <w:tc>
          <w:tcPr>
            <w:tcW w:w="79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占比</w:t>
            </w:r>
          </w:p>
        </w:tc>
        <w:tc>
          <w:tcPr>
            <w:tcW w:w="147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金额</w:t>
            </w:r>
          </w:p>
        </w:tc>
        <w:tc>
          <w:tcPr>
            <w:tcW w:w="79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占比</w:t>
            </w:r>
          </w:p>
        </w:tc>
        <w:tc>
          <w:tcPr>
            <w:tcW w:w="147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金额</w:t>
            </w:r>
          </w:p>
        </w:tc>
        <w:tc>
          <w:tcPr>
            <w:tcW w:w="79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占比</w:t>
            </w:r>
          </w:p>
        </w:tc>
        <w:tc>
          <w:tcPr>
            <w:tcW w:w="147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金额</w:t>
            </w:r>
          </w:p>
        </w:tc>
        <w:tc>
          <w:tcPr>
            <w:tcW w:w="794" w:type="dxa"/>
            <w:vAlign w:val="center"/>
          </w:tcPr>
          <w:p w:rsidR="00B862E5" w:rsidRPr="00B862E5" w:rsidRDefault="00B862E5" w:rsidP="00B862E5">
            <w:pPr>
              <w:jc w:val="center"/>
              <w:rPr>
                <w:rFonts w:ascii="Times New Roman" w:hAnsi="Times New Roman" w:cs="Times New Roman"/>
                <w:b/>
                <w:color w:val="000000"/>
                <w:szCs w:val="21"/>
              </w:rPr>
            </w:pPr>
            <w:r w:rsidRPr="00B862E5">
              <w:rPr>
                <w:rFonts w:ascii="Times New Roman" w:hAnsi="Times New Roman" w:cs="Times New Roman"/>
                <w:b/>
                <w:color w:val="000000"/>
                <w:szCs w:val="21"/>
              </w:rPr>
              <w:t>占比</w:t>
            </w:r>
          </w:p>
        </w:tc>
      </w:tr>
      <w:tr w:rsidR="00B862E5" w:rsidRPr="006C5D73" w:rsidTr="00B862E5">
        <w:trPr>
          <w:trHeight w:val="397"/>
          <w:jc w:val="center"/>
        </w:trPr>
        <w:tc>
          <w:tcPr>
            <w:tcW w:w="1531" w:type="dxa"/>
            <w:vAlign w:val="center"/>
          </w:tcPr>
          <w:p w:rsidR="00B862E5" w:rsidRPr="001111F5" w:rsidRDefault="00B862E5" w:rsidP="001111F5">
            <w:pPr>
              <w:widowControl/>
              <w:textAlignment w:val="bottom"/>
              <w:rPr>
                <w:rFonts w:ascii="Times New Roman" w:hAnsi="Times New Roman" w:cs="Times New Roman"/>
                <w:color w:val="000000"/>
                <w:szCs w:val="21"/>
              </w:rPr>
            </w:pPr>
            <w:r w:rsidRPr="001111F5">
              <w:rPr>
                <w:rFonts w:ascii="Times New Roman" w:hAnsi="Times New Roman" w:cs="Times New Roman"/>
                <w:color w:val="000000"/>
                <w:kern w:val="0"/>
                <w:szCs w:val="21"/>
              </w:rPr>
              <w:t>货币资金</w:t>
            </w:r>
          </w:p>
        </w:tc>
        <w:tc>
          <w:tcPr>
            <w:tcW w:w="1474" w:type="dxa"/>
            <w:vAlign w:val="center"/>
          </w:tcPr>
          <w:p w:rsidR="00B862E5" w:rsidRPr="001111F5" w:rsidRDefault="00B862E5" w:rsidP="007537E9">
            <w:pPr>
              <w:jc w:val="right"/>
              <w:rPr>
                <w:rFonts w:ascii="Times New Roman" w:hAnsi="Times New Roman" w:cs="Times New Roman"/>
                <w:color w:val="000000"/>
                <w:szCs w:val="21"/>
              </w:rPr>
            </w:pPr>
            <w:r w:rsidRPr="001111F5">
              <w:rPr>
                <w:rFonts w:ascii="Times New Roman" w:hAnsi="Times New Roman" w:cs="Times New Roman"/>
                <w:color w:val="000000"/>
                <w:szCs w:val="21"/>
              </w:rPr>
              <w:t>487,265.28</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5.46</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806,191.96</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9.20</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977,405.44</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12.85</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1,138,051.86</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16.25</w:t>
            </w:r>
          </w:p>
        </w:tc>
      </w:tr>
      <w:tr w:rsidR="00B862E5" w:rsidRPr="006C5D73" w:rsidTr="00B862E5">
        <w:trPr>
          <w:trHeight w:val="397"/>
          <w:jc w:val="center"/>
        </w:trPr>
        <w:tc>
          <w:tcPr>
            <w:tcW w:w="1531" w:type="dxa"/>
            <w:vAlign w:val="center"/>
          </w:tcPr>
          <w:p w:rsidR="00B862E5" w:rsidRPr="001111F5" w:rsidRDefault="00B862E5" w:rsidP="001111F5">
            <w:pPr>
              <w:widowControl/>
              <w:textAlignment w:val="bottom"/>
              <w:rPr>
                <w:rFonts w:ascii="Times New Roman" w:hAnsi="Times New Roman" w:cs="Times New Roman"/>
                <w:color w:val="000000"/>
                <w:szCs w:val="21"/>
              </w:rPr>
            </w:pPr>
            <w:r w:rsidRPr="001111F5">
              <w:rPr>
                <w:rFonts w:ascii="Times New Roman" w:hAnsi="Times New Roman" w:cs="Times New Roman"/>
                <w:color w:val="000000"/>
                <w:kern w:val="0"/>
                <w:szCs w:val="21"/>
              </w:rPr>
              <w:t>存货</w:t>
            </w:r>
          </w:p>
        </w:tc>
        <w:tc>
          <w:tcPr>
            <w:tcW w:w="1474" w:type="dxa"/>
            <w:vAlign w:val="center"/>
          </w:tcPr>
          <w:p w:rsidR="00B862E5" w:rsidRPr="001111F5" w:rsidRDefault="00B862E5" w:rsidP="007537E9">
            <w:pPr>
              <w:jc w:val="right"/>
              <w:rPr>
                <w:rFonts w:ascii="Times New Roman" w:hAnsi="Times New Roman" w:cs="Times New Roman"/>
                <w:color w:val="000000"/>
                <w:szCs w:val="21"/>
              </w:rPr>
            </w:pPr>
            <w:r w:rsidRPr="001111F5">
              <w:rPr>
                <w:rFonts w:ascii="Times New Roman" w:hAnsi="Times New Roman" w:cs="Times New Roman"/>
                <w:color w:val="000000"/>
                <w:szCs w:val="21"/>
              </w:rPr>
              <w:t>5,471,027.32</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61.32</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5,065,108.79</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57.83</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4,278,982.19</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56.25</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3,767,862.93</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53.80</w:t>
            </w:r>
          </w:p>
        </w:tc>
      </w:tr>
      <w:tr w:rsidR="00B862E5" w:rsidRPr="006C5D73" w:rsidTr="00B862E5">
        <w:trPr>
          <w:trHeight w:val="397"/>
          <w:jc w:val="center"/>
        </w:trPr>
        <w:tc>
          <w:tcPr>
            <w:tcW w:w="1531" w:type="dxa"/>
            <w:vAlign w:val="center"/>
          </w:tcPr>
          <w:p w:rsidR="00B862E5" w:rsidRPr="001111F5" w:rsidRDefault="00B862E5" w:rsidP="001111F5">
            <w:pPr>
              <w:widowControl/>
              <w:jc w:val="left"/>
              <w:textAlignment w:val="bottom"/>
              <w:rPr>
                <w:rFonts w:ascii="Times New Roman" w:hAnsi="Times New Roman" w:cs="Times New Roman"/>
                <w:color w:val="000000"/>
                <w:kern w:val="0"/>
                <w:szCs w:val="21"/>
              </w:rPr>
            </w:pPr>
            <w:r w:rsidRPr="001111F5">
              <w:rPr>
                <w:rFonts w:ascii="Times New Roman" w:hAnsi="Times New Roman" w:cs="Times New Roman"/>
                <w:color w:val="000000"/>
                <w:kern w:val="0"/>
                <w:szCs w:val="21"/>
              </w:rPr>
              <w:t>流动资产合计</w:t>
            </w:r>
          </w:p>
        </w:tc>
        <w:tc>
          <w:tcPr>
            <w:tcW w:w="1474" w:type="dxa"/>
            <w:vAlign w:val="center"/>
          </w:tcPr>
          <w:p w:rsidR="00B862E5" w:rsidRPr="001111F5" w:rsidRDefault="00B862E5" w:rsidP="007537E9">
            <w:pPr>
              <w:jc w:val="right"/>
              <w:rPr>
                <w:rFonts w:ascii="Times New Roman" w:hAnsi="Times New Roman" w:cs="Times New Roman"/>
                <w:color w:val="000000"/>
                <w:szCs w:val="21"/>
              </w:rPr>
            </w:pPr>
            <w:r w:rsidRPr="001111F5">
              <w:rPr>
                <w:rFonts w:ascii="Times New Roman" w:hAnsi="Times New Roman" w:cs="Times New Roman"/>
                <w:color w:val="000000"/>
                <w:szCs w:val="21"/>
              </w:rPr>
              <w:t>6,795,987.75</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76.17</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kern w:val="0"/>
                <w:szCs w:val="21"/>
              </w:rPr>
            </w:pPr>
            <w:r w:rsidRPr="001111F5">
              <w:rPr>
                <w:rFonts w:ascii="Times New Roman" w:hAnsi="Times New Roman" w:cs="Times New Roman"/>
                <w:color w:val="000000"/>
                <w:szCs w:val="21"/>
              </w:rPr>
              <w:t>6,841,936.20</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78.12</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kern w:val="0"/>
                <w:szCs w:val="21"/>
              </w:rPr>
            </w:pPr>
            <w:r w:rsidRPr="001111F5">
              <w:rPr>
                <w:rFonts w:ascii="Times New Roman" w:hAnsi="Times New Roman" w:cs="Times New Roman"/>
                <w:color w:val="000000"/>
                <w:szCs w:val="21"/>
              </w:rPr>
              <w:t>6,029,291.52</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79.26</w:t>
            </w:r>
          </w:p>
        </w:tc>
        <w:tc>
          <w:tcPr>
            <w:tcW w:w="1474" w:type="dxa"/>
            <w:vAlign w:val="center"/>
          </w:tcPr>
          <w:p w:rsidR="00B862E5" w:rsidRPr="001111F5" w:rsidRDefault="00B862E5" w:rsidP="007537E9">
            <w:pPr>
              <w:jc w:val="right"/>
              <w:rPr>
                <w:rFonts w:ascii="Times New Roman" w:hAnsi="Times New Roman" w:cs="Times New Roman"/>
                <w:color w:val="000000"/>
                <w:szCs w:val="21"/>
              </w:rPr>
            </w:pPr>
            <w:r w:rsidRPr="001111F5">
              <w:rPr>
                <w:rFonts w:ascii="Times New Roman" w:hAnsi="Times New Roman" w:cs="Times New Roman"/>
                <w:color w:val="000000"/>
                <w:szCs w:val="21"/>
              </w:rPr>
              <w:t>5,421,860.94</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77.42</w:t>
            </w:r>
          </w:p>
        </w:tc>
      </w:tr>
      <w:tr w:rsidR="00B862E5" w:rsidRPr="006C5D73" w:rsidTr="00B862E5">
        <w:trPr>
          <w:trHeight w:val="397"/>
          <w:jc w:val="center"/>
        </w:trPr>
        <w:tc>
          <w:tcPr>
            <w:tcW w:w="1531" w:type="dxa"/>
            <w:vAlign w:val="center"/>
          </w:tcPr>
          <w:p w:rsidR="00B862E5" w:rsidRPr="001111F5" w:rsidRDefault="00B862E5" w:rsidP="001111F5">
            <w:pPr>
              <w:widowControl/>
              <w:textAlignment w:val="center"/>
              <w:rPr>
                <w:rFonts w:ascii="Times New Roman" w:hAnsi="Times New Roman" w:cs="Times New Roman"/>
                <w:color w:val="000000"/>
                <w:szCs w:val="21"/>
              </w:rPr>
            </w:pPr>
            <w:r w:rsidRPr="001111F5">
              <w:rPr>
                <w:rFonts w:ascii="Times New Roman" w:hAnsi="Times New Roman" w:cs="Times New Roman"/>
                <w:color w:val="000000"/>
                <w:kern w:val="0"/>
                <w:szCs w:val="21"/>
              </w:rPr>
              <w:t>投资性房地产</w:t>
            </w:r>
          </w:p>
        </w:tc>
        <w:tc>
          <w:tcPr>
            <w:tcW w:w="1474" w:type="dxa"/>
            <w:vAlign w:val="center"/>
          </w:tcPr>
          <w:p w:rsidR="00B862E5" w:rsidRPr="001111F5" w:rsidRDefault="00B862E5" w:rsidP="007537E9">
            <w:pPr>
              <w:widowControl/>
              <w:ind w:right="100"/>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1,616,516.16</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18.12</w:t>
            </w:r>
          </w:p>
        </w:tc>
        <w:tc>
          <w:tcPr>
            <w:tcW w:w="1474" w:type="dxa"/>
            <w:vAlign w:val="center"/>
          </w:tcPr>
          <w:p w:rsidR="00B862E5" w:rsidRPr="001111F5" w:rsidRDefault="00B862E5" w:rsidP="007537E9">
            <w:pPr>
              <w:widowControl/>
              <w:ind w:right="100"/>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1,411,962.65</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16.12</w:t>
            </w:r>
          </w:p>
        </w:tc>
        <w:tc>
          <w:tcPr>
            <w:tcW w:w="1474" w:type="dxa"/>
            <w:vAlign w:val="center"/>
          </w:tcPr>
          <w:p w:rsidR="00B862E5" w:rsidRPr="001111F5" w:rsidRDefault="00B862E5" w:rsidP="007537E9">
            <w:pPr>
              <w:widowControl/>
              <w:ind w:right="100"/>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1,146,877.63</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15.08</w:t>
            </w:r>
          </w:p>
        </w:tc>
        <w:tc>
          <w:tcPr>
            <w:tcW w:w="1474" w:type="dxa"/>
            <w:vAlign w:val="center"/>
          </w:tcPr>
          <w:p w:rsidR="00B862E5" w:rsidRPr="001111F5" w:rsidRDefault="00B862E5" w:rsidP="007537E9">
            <w:pPr>
              <w:widowControl/>
              <w:ind w:right="100"/>
              <w:jc w:val="right"/>
              <w:textAlignment w:val="center"/>
              <w:rPr>
                <w:rFonts w:ascii="Times New Roman" w:hAnsi="Times New Roman" w:cs="Times New Roman"/>
                <w:color w:val="000000"/>
                <w:kern w:val="0"/>
                <w:szCs w:val="21"/>
              </w:rPr>
            </w:pPr>
            <w:r w:rsidRPr="001111F5">
              <w:rPr>
                <w:rFonts w:ascii="Times New Roman" w:hAnsi="Times New Roman" w:cs="Times New Roman"/>
                <w:color w:val="000000"/>
                <w:szCs w:val="21"/>
              </w:rPr>
              <w:t>1,158,131.62</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16.54</w:t>
            </w:r>
          </w:p>
        </w:tc>
      </w:tr>
      <w:tr w:rsidR="00B862E5" w:rsidRPr="006C5D73" w:rsidTr="00B862E5">
        <w:trPr>
          <w:trHeight w:val="397"/>
          <w:jc w:val="center"/>
        </w:trPr>
        <w:tc>
          <w:tcPr>
            <w:tcW w:w="1531" w:type="dxa"/>
            <w:vAlign w:val="center"/>
          </w:tcPr>
          <w:p w:rsidR="00B862E5" w:rsidRPr="001111F5" w:rsidRDefault="00B862E5" w:rsidP="001111F5">
            <w:pPr>
              <w:widowControl/>
              <w:textAlignment w:val="center"/>
              <w:rPr>
                <w:rFonts w:ascii="Times New Roman" w:hAnsi="Times New Roman" w:cs="Times New Roman"/>
                <w:color w:val="000000"/>
                <w:szCs w:val="21"/>
              </w:rPr>
            </w:pPr>
            <w:r w:rsidRPr="001111F5">
              <w:rPr>
                <w:rFonts w:ascii="Times New Roman" w:hAnsi="Times New Roman" w:cs="Times New Roman"/>
                <w:color w:val="000000"/>
                <w:kern w:val="0"/>
                <w:szCs w:val="21"/>
              </w:rPr>
              <w:t>固定资产</w:t>
            </w:r>
          </w:p>
        </w:tc>
        <w:tc>
          <w:tcPr>
            <w:tcW w:w="1474" w:type="dxa"/>
            <w:vAlign w:val="center"/>
          </w:tcPr>
          <w:p w:rsidR="00B862E5" w:rsidRPr="001111F5" w:rsidRDefault="00B862E5" w:rsidP="007537E9">
            <w:pPr>
              <w:widowControl/>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284,962.24</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3.19</w:t>
            </w:r>
          </w:p>
        </w:tc>
        <w:tc>
          <w:tcPr>
            <w:tcW w:w="1474" w:type="dxa"/>
            <w:vAlign w:val="center"/>
          </w:tcPr>
          <w:p w:rsidR="00B862E5" w:rsidRPr="001111F5" w:rsidRDefault="00B862E5" w:rsidP="007537E9">
            <w:pPr>
              <w:widowControl/>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287,156.69</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3.28</w:t>
            </w:r>
          </w:p>
        </w:tc>
        <w:tc>
          <w:tcPr>
            <w:tcW w:w="1474" w:type="dxa"/>
            <w:vAlign w:val="center"/>
          </w:tcPr>
          <w:p w:rsidR="00B862E5" w:rsidRPr="001111F5" w:rsidRDefault="00B862E5" w:rsidP="007537E9">
            <w:pPr>
              <w:widowControl/>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260,380.67</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3.42</w:t>
            </w:r>
          </w:p>
        </w:tc>
        <w:tc>
          <w:tcPr>
            <w:tcW w:w="1474" w:type="dxa"/>
            <w:vAlign w:val="center"/>
          </w:tcPr>
          <w:p w:rsidR="00B862E5" w:rsidRPr="001111F5" w:rsidRDefault="00B862E5" w:rsidP="007537E9">
            <w:pPr>
              <w:widowControl/>
              <w:jc w:val="right"/>
              <w:textAlignment w:val="center"/>
              <w:rPr>
                <w:rFonts w:ascii="Times New Roman" w:hAnsi="Times New Roman" w:cs="Times New Roman"/>
                <w:color w:val="000000"/>
                <w:kern w:val="0"/>
                <w:szCs w:val="21"/>
              </w:rPr>
            </w:pPr>
            <w:r w:rsidRPr="001111F5">
              <w:rPr>
                <w:rFonts w:ascii="Times New Roman" w:hAnsi="Times New Roman" w:cs="Times New Roman"/>
                <w:color w:val="000000"/>
                <w:szCs w:val="21"/>
              </w:rPr>
              <w:t>263,730.43</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3.77</w:t>
            </w:r>
          </w:p>
        </w:tc>
      </w:tr>
      <w:tr w:rsidR="00B862E5" w:rsidRPr="006C5D73" w:rsidTr="00B862E5">
        <w:trPr>
          <w:trHeight w:val="397"/>
          <w:jc w:val="center"/>
        </w:trPr>
        <w:tc>
          <w:tcPr>
            <w:tcW w:w="1531" w:type="dxa"/>
            <w:vAlign w:val="center"/>
          </w:tcPr>
          <w:p w:rsidR="00B862E5" w:rsidRPr="001111F5" w:rsidRDefault="00B862E5" w:rsidP="001111F5">
            <w:pPr>
              <w:widowControl/>
              <w:textAlignment w:val="center"/>
              <w:rPr>
                <w:rFonts w:ascii="Times New Roman" w:hAnsi="Times New Roman" w:cs="Times New Roman"/>
                <w:color w:val="000000"/>
                <w:szCs w:val="21"/>
              </w:rPr>
            </w:pPr>
            <w:r w:rsidRPr="001111F5">
              <w:rPr>
                <w:rFonts w:ascii="Times New Roman" w:hAnsi="Times New Roman" w:cs="Times New Roman"/>
                <w:color w:val="000000"/>
                <w:kern w:val="0"/>
                <w:szCs w:val="21"/>
              </w:rPr>
              <w:t>非流动资产合计</w:t>
            </w:r>
          </w:p>
        </w:tc>
        <w:tc>
          <w:tcPr>
            <w:tcW w:w="1474" w:type="dxa"/>
            <w:vAlign w:val="center"/>
          </w:tcPr>
          <w:p w:rsidR="00B862E5" w:rsidRPr="001111F5" w:rsidRDefault="00B862E5" w:rsidP="007537E9">
            <w:pPr>
              <w:widowControl/>
              <w:jc w:val="right"/>
              <w:textAlignment w:val="center"/>
              <w:rPr>
                <w:rFonts w:ascii="Times New Roman" w:hAnsi="Times New Roman" w:cs="Times New Roman"/>
                <w:b/>
                <w:color w:val="000000"/>
                <w:kern w:val="0"/>
                <w:szCs w:val="21"/>
              </w:rPr>
            </w:pPr>
            <w:r w:rsidRPr="001111F5">
              <w:rPr>
                <w:rFonts w:ascii="Times New Roman" w:hAnsi="Times New Roman" w:cs="Times New Roman"/>
                <w:color w:val="000000"/>
                <w:szCs w:val="21"/>
              </w:rPr>
              <w:t>2,126,006.85</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23.83</w:t>
            </w:r>
          </w:p>
        </w:tc>
        <w:tc>
          <w:tcPr>
            <w:tcW w:w="1474" w:type="dxa"/>
            <w:vAlign w:val="center"/>
          </w:tcPr>
          <w:p w:rsidR="00B862E5" w:rsidRPr="001111F5" w:rsidRDefault="00B862E5" w:rsidP="007537E9">
            <w:pPr>
              <w:widowControl/>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1,916,807.77</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21.88</w:t>
            </w:r>
          </w:p>
        </w:tc>
        <w:tc>
          <w:tcPr>
            <w:tcW w:w="1474" w:type="dxa"/>
            <w:vAlign w:val="center"/>
          </w:tcPr>
          <w:p w:rsidR="00B862E5" w:rsidRPr="001111F5" w:rsidRDefault="00B862E5" w:rsidP="007537E9">
            <w:pPr>
              <w:widowControl/>
              <w:jc w:val="right"/>
              <w:textAlignment w:val="center"/>
              <w:rPr>
                <w:rFonts w:ascii="Times New Roman" w:hAnsi="Times New Roman" w:cs="Times New Roman"/>
                <w:color w:val="000000"/>
                <w:szCs w:val="21"/>
              </w:rPr>
            </w:pPr>
            <w:r w:rsidRPr="001111F5">
              <w:rPr>
                <w:rFonts w:ascii="Times New Roman" w:hAnsi="Times New Roman" w:cs="Times New Roman"/>
                <w:color w:val="000000"/>
                <w:szCs w:val="21"/>
              </w:rPr>
              <w:t>1,577,766.12</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20.74</w:t>
            </w:r>
          </w:p>
        </w:tc>
        <w:tc>
          <w:tcPr>
            <w:tcW w:w="1474" w:type="dxa"/>
            <w:vAlign w:val="center"/>
          </w:tcPr>
          <w:p w:rsidR="00B862E5" w:rsidRPr="001111F5" w:rsidRDefault="00B862E5" w:rsidP="007537E9">
            <w:pPr>
              <w:jc w:val="right"/>
              <w:rPr>
                <w:rFonts w:ascii="Times New Roman" w:hAnsi="Times New Roman" w:cs="Times New Roman"/>
                <w:color w:val="000000"/>
                <w:szCs w:val="21"/>
              </w:rPr>
            </w:pPr>
            <w:r w:rsidRPr="001111F5">
              <w:rPr>
                <w:rFonts w:ascii="Times New Roman" w:hAnsi="Times New Roman" w:cs="Times New Roman"/>
                <w:color w:val="000000"/>
                <w:szCs w:val="21"/>
              </w:rPr>
              <w:t xml:space="preserve">1,581,171.83 </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22.58</w:t>
            </w:r>
          </w:p>
        </w:tc>
      </w:tr>
      <w:tr w:rsidR="00B862E5" w:rsidRPr="006C5D73" w:rsidTr="00B862E5">
        <w:trPr>
          <w:trHeight w:val="397"/>
          <w:jc w:val="center"/>
        </w:trPr>
        <w:tc>
          <w:tcPr>
            <w:tcW w:w="1531" w:type="dxa"/>
            <w:vAlign w:val="center"/>
          </w:tcPr>
          <w:p w:rsidR="00B862E5" w:rsidRPr="001111F5" w:rsidRDefault="00B862E5" w:rsidP="001111F5">
            <w:pPr>
              <w:widowControl/>
              <w:jc w:val="left"/>
              <w:textAlignment w:val="bottom"/>
              <w:rPr>
                <w:rFonts w:ascii="Times New Roman" w:hAnsi="Times New Roman" w:cs="Times New Roman"/>
                <w:color w:val="000000"/>
                <w:szCs w:val="21"/>
              </w:rPr>
            </w:pPr>
            <w:r w:rsidRPr="001111F5">
              <w:rPr>
                <w:rFonts w:ascii="Times New Roman" w:hAnsi="Times New Roman" w:cs="Times New Roman"/>
                <w:color w:val="000000"/>
                <w:kern w:val="0"/>
                <w:szCs w:val="21"/>
              </w:rPr>
              <w:t>资产总计</w:t>
            </w:r>
          </w:p>
        </w:tc>
        <w:tc>
          <w:tcPr>
            <w:tcW w:w="1474" w:type="dxa"/>
            <w:vAlign w:val="center"/>
          </w:tcPr>
          <w:p w:rsidR="00B862E5" w:rsidRPr="001111F5" w:rsidRDefault="00B862E5" w:rsidP="007537E9">
            <w:pPr>
              <w:jc w:val="right"/>
              <w:rPr>
                <w:rFonts w:ascii="Times New Roman" w:hAnsi="Times New Roman" w:cs="Times New Roman"/>
                <w:b/>
                <w:color w:val="000000"/>
                <w:szCs w:val="21"/>
              </w:rPr>
            </w:pPr>
            <w:r w:rsidRPr="001111F5">
              <w:rPr>
                <w:rFonts w:ascii="Times New Roman" w:hAnsi="Times New Roman" w:cs="Times New Roman"/>
                <w:color w:val="000000"/>
                <w:szCs w:val="21"/>
              </w:rPr>
              <w:t>8,921,994.60</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100.00</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8,758,743.96</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100.00</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szCs w:val="21"/>
              </w:rPr>
            </w:pPr>
            <w:r w:rsidRPr="001111F5">
              <w:rPr>
                <w:rFonts w:ascii="Times New Roman" w:hAnsi="Times New Roman" w:cs="Times New Roman"/>
                <w:color w:val="000000"/>
                <w:szCs w:val="21"/>
              </w:rPr>
              <w:t>7,607,057.64</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100.00</w:t>
            </w:r>
          </w:p>
        </w:tc>
        <w:tc>
          <w:tcPr>
            <w:tcW w:w="1474" w:type="dxa"/>
            <w:vAlign w:val="center"/>
          </w:tcPr>
          <w:p w:rsidR="00B862E5" w:rsidRPr="001111F5" w:rsidRDefault="00B862E5" w:rsidP="007537E9">
            <w:pPr>
              <w:widowControl/>
              <w:jc w:val="right"/>
              <w:textAlignment w:val="bottom"/>
              <w:rPr>
                <w:rFonts w:ascii="Times New Roman" w:hAnsi="Times New Roman" w:cs="Times New Roman"/>
                <w:color w:val="000000"/>
                <w:kern w:val="0"/>
                <w:szCs w:val="21"/>
              </w:rPr>
            </w:pPr>
            <w:r w:rsidRPr="001111F5">
              <w:rPr>
                <w:rFonts w:ascii="Times New Roman" w:hAnsi="Times New Roman" w:cs="Times New Roman"/>
                <w:color w:val="000000"/>
                <w:szCs w:val="21"/>
              </w:rPr>
              <w:t>7,003,032.77</w:t>
            </w:r>
          </w:p>
        </w:tc>
        <w:tc>
          <w:tcPr>
            <w:tcW w:w="794" w:type="dxa"/>
            <w:vAlign w:val="center"/>
          </w:tcPr>
          <w:p w:rsidR="00B862E5" w:rsidRDefault="00B862E5" w:rsidP="007537E9">
            <w:pPr>
              <w:jc w:val="right"/>
              <w:rPr>
                <w:rFonts w:ascii="Times New Roman" w:eastAsia="宋体" w:hAnsi="Times New Roman" w:cs="Times New Roman"/>
                <w:color w:val="000000"/>
                <w:szCs w:val="21"/>
              </w:rPr>
            </w:pPr>
            <w:r>
              <w:rPr>
                <w:rFonts w:ascii="Times New Roman" w:hAnsi="Times New Roman" w:cs="Times New Roman"/>
                <w:color w:val="000000"/>
                <w:szCs w:val="21"/>
              </w:rPr>
              <w:t>100.00</w:t>
            </w:r>
          </w:p>
        </w:tc>
      </w:tr>
    </w:tbl>
    <w:p w:rsidR="002B3EDF" w:rsidRDefault="00263608" w:rsidP="00263608">
      <w:pPr>
        <w:autoSpaceDE w:val="0"/>
        <w:autoSpaceDN w:val="0"/>
        <w:adjustRightInd w:val="0"/>
        <w:spacing w:line="360" w:lineRule="auto"/>
        <w:ind w:firstLineChars="200" w:firstLine="480"/>
        <w:jc w:val="left"/>
        <w:rPr>
          <w:rFonts w:ascii="Times New Roman" w:hAnsi="Times New Roman" w:cs="Times New Roman"/>
          <w:sz w:val="24"/>
          <w:szCs w:val="24"/>
        </w:rPr>
      </w:pPr>
      <w:r w:rsidRPr="00263608">
        <w:rPr>
          <w:rFonts w:ascii="Times New Roman" w:hAnsi="Times New Roman" w:cs="Times New Roman"/>
          <w:sz w:val="24"/>
          <w:szCs w:val="24"/>
        </w:rPr>
        <w:t>截至</w:t>
      </w:r>
      <w:r w:rsidRPr="00263608">
        <w:rPr>
          <w:rFonts w:ascii="Times New Roman" w:hAnsi="Times New Roman" w:cs="Times New Roman"/>
          <w:sz w:val="24"/>
          <w:szCs w:val="24"/>
        </w:rPr>
        <w:t>2012</w:t>
      </w:r>
      <w:r w:rsidRPr="00263608">
        <w:rPr>
          <w:rFonts w:ascii="Times New Roman" w:hAnsi="Times New Roman" w:cs="Times New Roman"/>
          <w:sz w:val="24"/>
          <w:szCs w:val="24"/>
        </w:rPr>
        <w:t>年末、</w:t>
      </w:r>
      <w:r w:rsidRPr="00263608">
        <w:rPr>
          <w:rFonts w:ascii="Times New Roman" w:hAnsi="Times New Roman" w:cs="Times New Roman"/>
          <w:sz w:val="24"/>
          <w:szCs w:val="24"/>
        </w:rPr>
        <w:t>2013</w:t>
      </w:r>
      <w:r w:rsidRPr="00263608">
        <w:rPr>
          <w:rFonts w:ascii="Times New Roman" w:hAnsi="Times New Roman" w:cs="Times New Roman"/>
          <w:sz w:val="24"/>
          <w:szCs w:val="24"/>
        </w:rPr>
        <w:t>年末、</w:t>
      </w:r>
      <w:r w:rsidRPr="00263608">
        <w:rPr>
          <w:rFonts w:ascii="Times New Roman" w:hAnsi="Times New Roman" w:cs="Times New Roman"/>
          <w:sz w:val="24"/>
          <w:szCs w:val="24"/>
        </w:rPr>
        <w:t>2014</w:t>
      </w:r>
      <w:r w:rsidRPr="00263608">
        <w:rPr>
          <w:rFonts w:ascii="Times New Roman" w:hAnsi="Times New Roman" w:cs="Times New Roman"/>
          <w:sz w:val="24"/>
          <w:szCs w:val="24"/>
        </w:rPr>
        <w:t>年末和</w:t>
      </w:r>
      <w:r w:rsidRPr="00263608">
        <w:rPr>
          <w:rFonts w:ascii="Times New Roman" w:hAnsi="Times New Roman" w:cs="Times New Roman"/>
          <w:sz w:val="24"/>
          <w:szCs w:val="24"/>
        </w:rPr>
        <w:t>2015</w:t>
      </w:r>
      <w:r w:rsidRPr="00263608">
        <w:rPr>
          <w:rFonts w:ascii="Times New Roman" w:hAnsi="Times New Roman" w:cs="Times New Roman"/>
          <w:sz w:val="24"/>
          <w:szCs w:val="24"/>
        </w:rPr>
        <w:t>年</w:t>
      </w:r>
      <w:r w:rsidRPr="00263608">
        <w:rPr>
          <w:rFonts w:ascii="Times New Roman" w:hAnsi="Times New Roman" w:cs="Times New Roman"/>
          <w:sz w:val="24"/>
          <w:szCs w:val="24"/>
        </w:rPr>
        <w:t>3</w:t>
      </w:r>
      <w:r w:rsidRPr="00263608">
        <w:rPr>
          <w:rFonts w:ascii="Times New Roman" w:hAnsi="Times New Roman" w:cs="Times New Roman"/>
          <w:sz w:val="24"/>
          <w:szCs w:val="24"/>
        </w:rPr>
        <w:t>月末，公司资产规模分别为</w:t>
      </w:r>
      <w:r w:rsidRPr="00263608">
        <w:rPr>
          <w:rFonts w:ascii="Times New Roman" w:hAnsi="Times New Roman" w:cs="Times New Roman"/>
          <w:sz w:val="24"/>
          <w:szCs w:val="24"/>
        </w:rPr>
        <w:t>7,003,032.77</w:t>
      </w:r>
      <w:r w:rsidRPr="00263608">
        <w:rPr>
          <w:rFonts w:ascii="Times New Roman" w:hAnsi="Times New Roman" w:cs="Times New Roman"/>
          <w:sz w:val="24"/>
          <w:szCs w:val="24"/>
        </w:rPr>
        <w:t>万元、</w:t>
      </w:r>
      <w:r w:rsidRPr="00263608">
        <w:rPr>
          <w:rFonts w:ascii="Times New Roman" w:hAnsi="Times New Roman" w:cs="Times New Roman"/>
          <w:sz w:val="24"/>
          <w:szCs w:val="24"/>
        </w:rPr>
        <w:t>7,607,057.64</w:t>
      </w:r>
      <w:r w:rsidRPr="00263608">
        <w:rPr>
          <w:rFonts w:ascii="Times New Roman" w:hAnsi="Times New Roman" w:cs="Times New Roman"/>
          <w:sz w:val="24"/>
          <w:szCs w:val="24"/>
        </w:rPr>
        <w:t>万元、</w:t>
      </w:r>
      <w:r w:rsidRPr="00263608">
        <w:rPr>
          <w:rFonts w:ascii="Times New Roman" w:hAnsi="Times New Roman" w:cs="Times New Roman"/>
          <w:sz w:val="24"/>
          <w:szCs w:val="24"/>
        </w:rPr>
        <w:t>8,758,743.96</w:t>
      </w:r>
      <w:r w:rsidRPr="00263608">
        <w:rPr>
          <w:rFonts w:ascii="Times New Roman" w:hAnsi="Times New Roman" w:cs="Times New Roman"/>
          <w:sz w:val="24"/>
          <w:szCs w:val="24"/>
        </w:rPr>
        <w:t>万元和</w:t>
      </w:r>
      <w:r w:rsidRPr="00263608">
        <w:rPr>
          <w:rFonts w:ascii="Times New Roman" w:hAnsi="Times New Roman" w:cs="Times New Roman"/>
          <w:sz w:val="24"/>
          <w:szCs w:val="24"/>
        </w:rPr>
        <w:t>8,921,994.60</w:t>
      </w:r>
      <w:r w:rsidRPr="00263608">
        <w:rPr>
          <w:rFonts w:ascii="Times New Roman" w:hAnsi="Times New Roman" w:cs="Times New Roman"/>
          <w:sz w:val="24"/>
          <w:szCs w:val="24"/>
        </w:rPr>
        <w:t>万元，</w:t>
      </w:r>
      <w:r w:rsidRPr="00263608">
        <w:rPr>
          <w:rFonts w:ascii="Times New Roman" w:hAnsi="Times New Roman" w:cs="Times New Roman"/>
          <w:sz w:val="24"/>
          <w:szCs w:val="24"/>
        </w:rPr>
        <w:t>2013</w:t>
      </w:r>
      <w:r w:rsidRPr="00263608">
        <w:rPr>
          <w:rFonts w:ascii="Times New Roman" w:hAnsi="Times New Roman" w:cs="Times New Roman"/>
          <w:sz w:val="24"/>
          <w:szCs w:val="24"/>
        </w:rPr>
        <w:t>年末较</w:t>
      </w:r>
      <w:r w:rsidRPr="00263608">
        <w:rPr>
          <w:rFonts w:ascii="Times New Roman" w:hAnsi="Times New Roman" w:cs="Times New Roman"/>
          <w:sz w:val="24"/>
          <w:szCs w:val="24"/>
        </w:rPr>
        <w:t>2012</w:t>
      </w:r>
      <w:r w:rsidRPr="00263608">
        <w:rPr>
          <w:rFonts w:ascii="Times New Roman" w:hAnsi="Times New Roman" w:cs="Times New Roman"/>
          <w:sz w:val="24"/>
          <w:szCs w:val="24"/>
        </w:rPr>
        <w:t>年末增长</w:t>
      </w:r>
      <w:r w:rsidRPr="00263608">
        <w:rPr>
          <w:rFonts w:ascii="Times New Roman" w:hAnsi="Times New Roman" w:cs="Times New Roman"/>
          <w:sz w:val="24"/>
          <w:szCs w:val="24"/>
        </w:rPr>
        <w:t>8.63%</w:t>
      </w:r>
      <w:r w:rsidRPr="00263608">
        <w:rPr>
          <w:rFonts w:ascii="Times New Roman" w:hAnsi="Times New Roman" w:cs="Times New Roman"/>
          <w:sz w:val="24"/>
          <w:szCs w:val="24"/>
        </w:rPr>
        <w:t>，</w:t>
      </w:r>
      <w:r w:rsidRPr="00263608">
        <w:rPr>
          <w:rFonts w:ascii="Times New Roman" w:hAnsi="Times New Roman" w:cs="Times New Roman"/>
          <w:sz w:val="24"/>
          <w:szCs w:val="24"/>
        </w:rPr>
        <w:t>2014</w:t>
      </w:r>
      <w:r w:rsidRPr="00263608">
        <w:rPr>
          <w:rFonts w:ascii="Times New Roman" w:hAnsi="Times New Roman" w:cs="Times New Roman"/>
          <w:sz w:val="24"/>
          <w:szCs w:val="24"/>
        </w:rPr>
        <w:t>年末较</w:t>
      </w:r>
      <w:r w:rsidRPr="00263608">
        <w:rPr>
          <w:rFonts w:ascii="Times New Roman" w:hAnsi="Times New Roman" w:cs="Times New Roman"/>
          <w:sz w:val="24"/>
          <w:szCs w:val="24"/>
        </w:rPr>
        <w:t>2013</w:t>
      </w:r>
      <w:r w:rsidRPr="00263608">
        <w:rPr>
          <w:rFonts w:ascii="Times New Roman" w:hAnsi="Times New Roman" w:cs="Times New Roman"/>
          <w:sz w:val="24"/>
          <w:szCs w:val="24"/>
        </w:rPr>
        <w:t>年末增长</w:t>
      </w:r>
      <w:r w:rsidRPr="00263608">
        <w:rPr>
          <w:rFonts w:ascii="Times New Roman" w:hAnsi="Times New Roman" w:cs="Times New Roman"/>
          <w:sz w:val="24"/>
          <w:szCs w:val="24"/>
        </w:rPr>
        <w:t>15.14%</w:t>
      </w:r>
      <w:r w:rsidRPr="00263608">
        <w:rPr>
          <w:rFonts w:ascii="Times New Roman" w:hAnsi="Times New Roman" w:cs="Times New Roman"/>
          <w:sz w:val="24"/>
          <w:szCs w:val="24"/>
        </w:rPr>
        <w:t>，资产规模保持较快增长。</w:t>
      </w:r>
    </w:p>
    <w:p w:rsidR="00263608" w:rsidRDefault="00B07C97" w:rsidP="00263608">
      <w:pPr>
        <w:autoSpaceDE w:val="0"/>
        <w:autoSpaceDN w:val="0"/>
        <w:adjustRightInd w:val="0"/>
        <w:spacing w:line="360" w:lineRule="auto"/>
        <w:ind w:firstLineChars="200" w:firstLine="480"/>
        <w:jc w:val="left"/>
        <w:rPr>
          <w:rFonts w:hAnsi="宋体"/>
          <w:kern w:val="0"/>
          <w:sz w:val="24"/>
        </w:rPr>
      </w:pPr>
      <w:r>
        <w:rPr>
          <w:rFonts w:hAnsi="宋体"/>
          <w:kern w:val="0"/>
          <w:sz w:val="24"/>
        </w:rPr>
        <w:t>公司</w:t>
      </w:r>
      <w:r w:rsidR="00263608" w:rsidRPr="00117F91">
        <w:rPr>
          <w:rFonts w:hAnsi="宋体"/>
          <w:kern w:val="0"/>
          <w:sz w:val="24"/>
        </w:rPr>
        <w:t>近三年及一期存货账面价值持续增长，主要是由于</w:t>
      </w:r>
      <w:r>
        <w:rPr>
          <w:rFonts w:hAnsi="宋体"/>
          <w:kern w:val="0"/>
          <w:sz w:val="24"/>
        </w:rPr>
        <w:t>公司</w:t>
      </w:r>
      <w:r w:rsidR="00263608" w:rsidRPr="00117F91">
        <w:rPr>
          <w:rFonts w:hAnsi="宋体"/>
          <w:kern w:val="0"/>
          <w:sz w:val="24"/>
        </w:rPr>
        <w:t>商业及住宅地产开发业务持续增长，处于开发中的项目产品增加。投资性房地产总体呈增长趋势，是因为</w:t>
      </w:r>
      <w:r>
        <w:rPr>
          <w:rFonts w:hAnsi="宋体"/>
          <w:kern w:val="0"/>
          <w:sz w:val="24"/>
        </w:rPr>
        <w:t>公司开发</w:t>
      </w:r>
      <w:r w:rsidR="00263608" w:rsidRPr="00117F91">
        <w:rPr>
          <w:rFonts w:hAnsi="宋体"/>
          <w:kern w:val="0"/>
          <w:sz w:val="24"/>
        </w:rPr>
        <w:t>商务地产运营业务，新增</w:t>
      </w:r>
      <w:proofErr w:type="gramStart"/>
      <w:r w:rsidR="00263608" w:rsidRPr="00117F91">
        <w:rPr>
          <w:rFonts w:hAnsi="宋体"/>
          <w:kern w:val="0"/>
          <w:sz w:val="24"/>
        </w:rPr>
        <w:t>自持</w:t>
      </w:r>
      <w:proofErr w:type="gramEnd"/>
      <w:r w:rsidR="00263608" w:rsidRPr="00117F91">
        <w:rPr>
          <w:rFonts w:hAnsi="宋体"/>
          <w:kern w:val="0"/>
          <w:sz w:val="24"/>
        </w:rPr>
        <w:t>商务地产持续增长，且</w:t>
      </w:r>
      <w:proofErr w:type="gramStart"/>
      <w:r w:rsidR="00263608" w:rsidRPr="00117F91">
        <w:rPr>
          <w:rFonts w:hAnsi="宋体"/>
          <w:kern w:val="0"/>
          <w:sz w:val="24"/>
        </w:rPr>
        <w:t>自持</w:t>
      </w:r>
      <w:proofErr w:type="gramEnd"/>
      <w:r w:rsidR="00263608" w:rsidRPr="00117F91">
        <w:rPr>
          <w:rFonts w:hAnsi="宋体"/>
          <w:kern w:val="0"/>
          <w:sz w:val="24"/>
        </w:rPr>
        <w:t>商务地产在会计上计作投资性房地产所致。</w:t>
      </w:r>
    </w:p>
    <w:p w:rsidR="00263608" w:rsidRPr="00263608" w:rsidRDefault="00263608" w:rsidP="000949BF">
      <w:pPr>
        <w:autoSpaceDE w:val="0"/>
        <w:autoSpaceDN w:val="0"/>
        <w:adjustRightInd w:val="0"/>
        <w:spacing w:line="360" w:lineRule="auto"/>
        <w:ind w:firstLineChars="200" w:firstLine="480"/>
        <w:jc w:val="left"/>
        <w:outlineLvl w:val="0"/>
        <w:rPr>
          <w:rFonts w:ascii="Times New Roman" w:hAnsi="Times New Roman" w:cs="Times New Roman"/>
          <w:kern w:val="0"/>
          <w:sz w:val="24"/>
        </w:rPr>
      </w:pPr>
      <w:r w:rsidRPr="00263608">
        <w:rPr>
          <w:rFonts w:ascii="Times New Roman" w:hAnsi="Times New Roman" w:cs="Times New Roman"/>
          <w:kern w:val="0"/>
          <w:sz w:val="24"/>
        </w:rPr>
        <w:t>2</w:t>
      </w:r>
      <w:r w:rsidRPr="00263608">
        <w:rPr>
          <w:rFonts w:ascii="Times New Roman" w:hAnsi="Times New Roman" w:cs="Times New Roman"/>
          <w:kern w:val="0"/>
          <w:sz w:val="24"/>
        </w:rPr>
        <w:t>、负债结构分析</w:t>
      </w:r>
    </w:p>
    <w:p w:rsidR="00263608" w:rsidRPr="00263608" w:rsidRDefault="004D50BB" w:rsidP="00263608">
      <w:pPr>
        <w:autoSpaceDE w:val="0"/>
        <w:autoSpaceDN w:val="0"/>
        <w:adjustRightInd w:val="0"/>
        <w:spacing w:line="360" w:lineRule="auto"/>
        <w:ind w:firstLineChars="200" w:firstLine="480"/>
        <w:jc w:val="left"/>
        <w:rPr>
          <w:rFonts w:ascii="Times New Roman" w:hAnsi="Times New Roman" w:cs="Times New Roman"/>
          <w:kern w:val="0"/>
          <w:sz w:val="24"/>
        </w:rPr>
      </w:pPr>
      <w:r>
        <w:rPr>
          <w:rFonts w:ascii="Times New Roman" w:hAnsi="Times New Roman" w:cs="Times New Roman"/>
          <w:kern w:val="0"/>
          <w:sz w:val="24"/>
        </w:rPr>
        <w:t>公司最近三年及</w:t>
      </w:r>
      <w:proofErr w:type="gramStart"/>
      <w:r>
        <w:rPr>
          <w:rFonts w:ascii="Times New Roman" w:hAnsi="Times New Roman" w:cs="Times New Roman"/>
          <w:kern w:val="0"/>
          <w:sz w:val="24"/>
        </w:rPr>
        <w:t>一</w:t>
      </w:r>
      <w:proofErr w:type="gramEnd"/>
      <w:r>
        <w:rPr>
          <w:rFonts w:ascii="Times New Roman" w:hAnsi="Times New Roman" w:cs="Times New Roman"/>
          <w:kern w:val="0"/>
          <w:sz w:val="24"/>
        </w:rPr>
        <w:t>期末负债构成情况如</w:t>
      </w:r>
      <w:r w:rsidR="00263608" w:rsidRPr="00263608">
        <w:rPr>
          <w:rFonts w:ascii="Times New Roman" w:hAnsi="Times New Roman" w:cs="Times New Roman"/>
          <w:kern w:val="0"/>
          <w:sz w:val="24"/>
        </w:rPr>
        <w:t>表</w:t>
      </w:r>
      <w:r w:rsidR="00263608">
        <w:rPr>
          <w:rFonts w:ascii="Times New Roman" w:hAnsi="Times New Roman" w:cs="Times New Roman" w:hint="eastAsia"/>
          <w:kern w:val="0"/>
          <w:sz w:val="24"/>
        </w:rPr>
        <w:t>9</w:t>
      </w:r>
      <w:r w:rsidR="00263608" w:rsidRPr="00263608">
        <w:rPr>
          <w:rFonts w:ascii="Times New Roman" w:hAnsi="Times New Roman" w:cs="Times New Roman"/>
          <w:kern w:val="0"/>
          <w:sz w:val="24"/>
        </w:rPr>
        <w:t>所示：</w:t>
      </w:r>
    </w:p>
    <w:p w:rsidR="00263608" w:rsidRPr="00263608" w:rsidRDefault="00263608" w:rsidP="00B862E5">
      <w:pPr>
        <w:autoSpaceDE w:val="0"/>
        <w:autoSpaceDN w:val="0"/>
        <w:adjustRightInd w:val="0"/>
        <w:jc w:val="center"/>
        <w:rPr>
          <w:rFonts w:ascii="Times New Roman" w:hAnsi="Times New Roman" w:cs="Times New Roman"/>
          <w:b/>
          <w:kern w:val="0"/>
          <w:sz w:val="24"/>
        </w:rPr>
      </w:pPr>
      <w:r w:rsidRPr="00263608">
        <w:rPr>
          <w:rFonts w:ascii="Times New Roman" w:hAnsi="Times New Roman" w:cs="Times New Roman"/>
          <w:b/>
          <w:kern w:val="0"/>
          <w:sz w:val="24"/>
        </w:rPr>
        <w:t>表</w:t>
      </w:r>
      <w:r>
        <w:rPr>
          <w:rFonts w:ascii="Times New Roman" w:hAnsi="Times New Roman" w:cs="Times New Roman" w:hint="eastAsia"/>
          <w:b/>
          <w:kern w:val="0"/>
          <w:sz w:val="24"/>
        </w:rPr>
        <w:t>9</w:t>
      </w:r>
      <w:r w:rsidRPr="00263608">
        <w:rPr>
          <w:rFonts w:ascii="Times New Roman" w:hAnsi="Times New Roman" w:cs="Times New Roman"/>
          <w:b/>
          <w:kern w:val="0"/>
          <w:sz w:val="24"/>
        </w:rPr>
        <w:t>：公司最近三年及</w:t>
      </w:r>
      <w:proofErr w:type="gramStart"/>
      <w:r w:rsidRPr="00263608">
        <w:rPr>
          <w:rFonts w:ascii="Times New Roman" w:hAnsi="Times New Roman" w:cs="Times New Roman"/>
          <w:b/>
          <w:kern w:val="0"/>
          <w:sz w:val="24"/>
        </w:rPr>
        <w:t>一</w:t>
      </w:r>
      <w:proofErr w:type="gramEnd"/>
      <w:r w:rsidRPr="00263608">
        <w:rPr>
          <w:rFonts w:ascii="Times New Roman" w:hAnsi="Times New Roman" w:cs="Times New Roman"/>
          <w:b/>
          <w:kern w:val="0"/>
          <w:sz w:val="24"/>
        </w:rPr>
        <w:t>期末主要负债构成情况表</w:t>
      </w:r>
    </w:p>
    <w:p w:rsidR="00263608" w:rsidRPr="004D50BB" w:rsidRDefault="00263608" w:rsidP="00B862E5">
      <w:pPr>
        <w:autoSpaceDE w:val="0"/>
        <w:autoSpaceDN w:val="0"/>
        <w:adjustRightInd w:val="0"/>
        <w:ind w:firstLineChars="200" w:firstLine="422"/>
        <w:jc w:val="right"/>
        <w:rPr>
          <w:rFonts w:ascii="Times New Roman" w:hAnsi="Times New Roman" w:cs="Times New Roman"/>
          <w:b/>
          <w:kern w:val="0"/>
          <w:szCs w:val="21"/>
        </w:rPr>
      </w:pPr>
      <w:r w:rsidRPr="004D50BB">
        <w:rPr>
          <w:rFonts w:hAnsi="宋体" w:hint="eastAsia"/>
          <w:b/>
          <w:kern w:val="0"/>
          <w:szCs w:val="21"/>
        </w:rPr>
        <w:t>单位：万元、</w:t>
      </w:r>
      <w:r w:rsidRPr="004D50BB">
        <w:rPr>
          <w:rFonts w:ascii="Times New Roman" w:hAnsi="Times New Roman" w:cs="Times New Roman" w:hint="eastAsia"/>
          <w:b/>
          <w:kern w:val="0"/>
          <w:szCs w:val="21"/>
        </w:rPr>
        <w:t>%</w:t>
      </w:r>
    </w:p>
    <w:tbl>
      <w:tblPr>
        <w:tblW w:w="107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firstRow="0" w:lastRow="0" w:firstColumn="0" w:lastColumn="0" w:noHBand="0" w:noVBand="0"/>
      </w:tblPr>
      <w:tblGrid>
        <w:gridCol w:w="1701"/>
        <w:gridCol w:w="1418"/>
        <w:gridCol w:w="850"/>
        <w:gridCol w:w="1410"/>
        <w:gridCol w:w="858"/>
        <w:gridCol w:w="1418"/>
        <w:gridCol w:w="850"/>
        <w:gridCol w:w="1418"/>
        <w:gridCol w:w="850"/>
      </w:tblGrid>
      <w:tr w:rsidR="008C4B2A" w:rsidRPr="008C4B2A" w:rsidTr="00B862E5">
        <w:trPr>
          <w:trHeight w:val="397"/>
          <w:tblHeader/>
          <w:jc w:val="center"/>
        </w:trPr>
        <w:tc>
          <w:tcPr>
            <w:tcW w:w="1701" w:type="dxa"/>
            <w:vMerge w:val="restart"/>
            <w:vAlign w:val="center"/>
          </w:tcPr>
          <w:p w:rsidR="008C4B2A" w:rsidRPr="008C4B2A" w:rsidRDefault="008C4B2A" w:rsidP="008C4B2A">
            <w:pPr>
              <w:widowControl/>
              <w:jc w:val="center"/>
              <w:textAlignment w:val="center"/>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项目</w:t>
            </w:r>
          </w:p>
        </w:tc>
        <w:tc>
          <w:tcPr>
            <w:tcW w:w="2268" w:type="dxa"/>
            <w:gridSpan w:val="2"/>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2015.3.31</w:t>
            </w:r>
          </w:p>
        </w:tc>
        <w:tc>
          <w:tcPr>
            <w:tcW w:w="2268" w:type="dxa"/>
            <w:gridSpan w:val="2"/>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2014.12.31</w:t>
            </w:r>
          </w:p>
        </w:tc>
        <w:tc>
          <w:tcPr>
            <w:tcW w:w="2268" w:type="dxa"/>
            <w:gridSpan w:val="2"/>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2013.12.31</w:t>
            </w:r>
          </w:p>
        </w:tc>
        <w:tc>
          <w:tcPr>
            <w:tcW w:w="2268" w:type="dxa"/>
            <w:gridSpan w:val="2"/>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2012.12.31</w:t>
            </w:r>
          </w:p>
        </w:tc>
      </w:tr>
      <w:tr w:rsidR="00AD4E12" w:rsidRPr="008C4B2A" w:rsidTr="00B862E5">
        <w:trPr>
          <w:trHeight w:val="397"/>
          <w:tblHeader/>
          <w:jc w:val="center"/>
        </w:trPr>
        <w:tc>
          <w:tcPr>
            <w:tcW w:w="1701" w:type="dxa"/>
            <w:vMerge/>
            <w:vAlign w:val="center"/>
          </w:tcPr>
          <w:p w:rsidR="008C4B2A" w:rsidRPr="008C4B2A" w:rsidRDefault="008C4B2A" w:rsidP="008C4B2A">
            <w:pPr>
              <w:jc w:val="center"/>
              <w:rPr>
                <w:rFonts w:ascii="Times New Roman" w:eastAsia="宋体" w:hAnsi="Times New Roman" w:cs="Times New Roman"/>
                <w:b/>
                <w:color w:val="000000"/>
                <w:szCs w:val="21"/>
              </w:rPr>
            </w:pPr>
          </w:p>
        </w:tc>
        <w:tc>
          <w:tcPr>
            <w:tcW w:w="1418"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金额</w:t>
            </w:r>
          </w:p>
        </w:tc>
        <w:tc>
          <w:tcPr>
            <w:tcW w:w="850"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比例</w:t>
            </w:r>
          </w:p>
        </w:tc>
        <w:tc>
          <w:tcPr>
            <w:tcW w:w="1410"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金额</w:t>
            </w:r>
          </w:p>
        </w:tc>
        <w:tc>
          <w:tcPr>
            <w:tcW w:w="858"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比例</w:t>
            </w:r>
          </w:p>
        </w:tc>
        <w:tc>
          <w:tcPr>
            <w:tcW w:w="1418"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金额</w:t>
            </w:r>
          </w:p>
        </w:tc>
        <w:tc>
          <w:tcPr>
            <w:tcW w:w="850"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比例</w:t>
            </w:r>
          </w:p>
        </w:tc>
        <w:tc>
          <w:tcPr>
            <w:tcW w:w="1418"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金额</w:t>
            </w:r>
          </w:p>
        </w:tc>
        <w:tc>
          <w:tcPr>
            <w:tcW w:w="850" w:type="dxa"/>
            <w:vAlign w:val="center"/>
          </w:tcPr>
          <w:p w:rsidR="008C4B2A" w:rsidRPr="008C4B2A" w:rsidRDefault="008C4B2A" w:rsidP="008C4B2A">
            <w:pPr>
              <w:widowControl/>
              <w:jc w:val="center"/>
              <w:textAlignment w:val="bottom"/>
              <w:rPr>
                <w:rFonts w:ascii="Times New Roman" w:eastAsia="宋体" w:hAnsi="Times New Roman" w:cs="Times New Roman"/>
                <w:b/>
                <w:color w:val="000000"/>
                <w:szCs w:val="21"/>
              </w:rPr>
            </w:pPr>
            <w:r w:rsidRPr="008C4B2A">
              <w:rPr>
                <w:rFonts w:ascii="Times New Roman" w:eastAsia="宋体" w:hAnsi="宋体" w:cs="Times New Roman"/>
                <w:b/>
                <w:color w:val="000000"/>
                <w:kern w:val="0"/>
                <w:szCs w:val="21"/>
              </w:rPr>
              <w:t>比例</w:t>
            </w:r>
          </w:p>
        </w:tc>
      </w:tr>
      <w:tr w:rsidR="00AD4E12" w:rsidRPr="008C4B2A" w:rsidTr="00B862E5">
        <w:trPr>
          <w:trHeight w:val="397"/>
          <w:jc w:val="center"/>
        </w:trPr>
        <w:tc>
          <w:tcPr>
            <w:tcW w:w="1701" w:type="dxa"/>
            <w:vAlign w:val="center"/>
          </w:tcPr>
          <w:p w:rsidR="00B4600A" w:rsidRPr="008C4B2A" w:rsidRDefault="00B4600A" w:rsidP="008C4B2A">
            <w:pPr>
              <w:widowControl/>
              <w:jc w:val="left"/>
              <w:textAlignment w:val="center"/>
              <w:rPr>
                <w:rFonts w:ascii="Times New Roman" w:eastAsia="宋体" w:hAnsi="Times New Roman" w:cs="Times New Roman"/>
                <w:color w:val="000000"/>
                <w:szCs w:val="21"/>
              </w:rPr>
            </w:pPr>
            <w:r w:rsidRPr="008C4B2A">
              <w:rPr>
                <w:rFonts w:ascii="Times New Roman" w:eastAsia="宋体" w:hAnsi="宋体" w:cs="Times New Roman"/>
                <w:color w:val="000000"/>
                <w:kern w:val="0"/>
                <w:szCs w:val="21"/>
              </w:rPr>
              <w:t>短期借款</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58,000.00 </w:t>
            </w:r>
          </w:p>
        </w:tc>
        <w:tc>
          <w:tcPr>
            <w:tcW w:w="85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0.96</w:t>
            </w:r>
          </w:p>
        </w:tc>
        <w:tc>
          <w:tcPr>
            <w:tcW w:w="141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53,000.00 </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0.87</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126,000.00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2.44</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724,000.00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14.78</w:t>
            </w:r>
          </w:p>
        </w:tc>
      </w:tr>
      <w:tr w:rsidR="00AD4E12" w:rsidRPr="008C4B2A" w:rsidTr="00B862E5">
        <w:trPr>
          <w:trHeight w:val="397"/>
          <w:jc w:val="center"/>
        </w:trPr>
        <w:tc>
          <w:tcPr>
            <w:tcW w:w="1701" w:type="dxa"/>
            <w:vAlign w:val="center"/>
          </w:tcPr>
          <w:p w:rsidR="00B4600A" w:rsidRPr="008C4B2A" w:rsidRDefault="00B4600A" w:rsidP="008C4B2A">
            <w:pPr>
              <w:widowControl/>
              <w:jc w:val="left"/>
              <w:textAlignment w:val="center"/>
              <w:rPr>
                <w:rFonts w:ascii="Times New Roman" w:eastAsia="宋体" w:hAnsi="Times New Roman" w:cs="Times New Roman"/>
                <w:color w:val="000000"/>
                <w:szCs w:val="21"/>
              </w:rPr>
            </w:pPr>
            <w:r w:rsidRPr="008C4B2A">
              <w:rPr>
                <w:rFonts w:ascii="Times New Roman" w:eastAsia="宋体" w:hAnsi="宋体" w:cs="Times New Roman"/>
                <w:color w:val="000000"/>
                <w:kern w:val="0"/>
                <w:szCs w:val="21"/>
              </w:rPr>
              <w:t>应付</w:t>
            </w:r>
            <w:r w:rsidR="00E91F2C">
              <w:rPr>
                <w:rFonts w:ascii="Times New Roman" w:eastAsia="宋体" w:hAnsi="宋体" w:cs="Times New Roman"/>
                <w:color w:val="000000"/>
                <w:kern w:val="0"/>
                <w:szCs w:val="21"/>
              </w:rPr>
              <w:t>账款</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340,598.11 </w:t>
            </w:r>
          </w:p>
        </w:tc>
        <w:tc>
          <w:tcPr>
            <w:tcW w:w="85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5.66</w:t>
            </w:r>
          </w:p>
        </w:tc>
        <w:tc>
          <w:tcPr>
            <w:tcW w:w="141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403,273.47 </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6.63</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427,034.98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8.27</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292,836.48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5.98</w:t>
            </w:r>
          </w:p>
        </w:tc>
      </w:tr>
      <w:tr w:rsidR="00AD4E12" w:rsidRPr="008C4B2A" w:rsidTr="00B862E5">
        <w:trPr>
          <w:trHeight w:val="397"/>
          <w:jc w:val="center"/>
        </w:trPr>
        <w:tc>
          <w:tcPr>
            <w:tcW w:w="1701" w:type="dxa"/>
            <w:vAlign w:val="center"/>
          </w:tcPr>
          <w:p w:rsidR="00B4600A" w:rsidRPr="008C4B2A" w:rsidRDefault="00B4600A" w:rsidP="008C4B2A">
            <w:pPr>
              <w:widowControl/>
              <w:jc w:val="left"/>
              <w:textAlignment w:val="center"/>
              <w:rPr>
                <w:rFonts w:ascii="Times New Roman" w:eastAsia="宋体" w:hAnsi="Times New Roman" w:cs="Times New Roman"/>
                <w:color w:val="000000"/>
                <w:szCs w:val="21"/>
              </w:rPr>
            </w:pPr>
            <w:r w:rsidRPr="008C4B2A">
              <w:rPr>
                <w:rFonts w:ascii="Times New Roman" w:eastAsia="宋体" w:hAnsi="宋体" w:cs="Times New Roman"/>
                <w:color w:val="000000"/>
                <w:kern w:val="0"/>
                <w:szCs w:val="21"/>
              </w:rPr>
              <w:t>预收款项</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900,643.89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14.97</w:t>
            </w:r>
          </w:p>
        </w:tc>
        <w:tc>
          <w:tcPr>
            <w:tcW w:w="141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881,245.04 </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14.50</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1,193,493.83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23.12</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1,446,530.98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29.53</w:t>
            </w:r>
          </w:p>
        </w:tc>
      </w:tr>
      <w:tr w:rsidR="00AD4E12" w:rsidRPr="008C4B2A" w:rsidTr="00B862E5">
        <w:trPr>
          <w:trHeight w:val="397"/>
          <w:jc w:val="center"/>
        </w:trPr>
        <w:tc>
          <w:tcPr>
            <w:tcW w:w="1701" w:type="dxa"/>
            <w:vAlign w:val="center"/>
          </w:tcPr>
          <w:p w:rsidR="00B4600A" w:rsidRPr="008C4B2A" w:rsidRDefault="00B4600A" w:rsidP="008C4B2A">
            <w:pPr>
              <w:widowControl/>
              <w:jc w:val="left"/>
              <w:textAlignment w:val="center"/>
              <w:rPr>
                <w:rFonts w:ascii="Times New Roman" w:eastAsia="宋体" w:hAnsi="Times New Roman" w:cs="Times New Roman"/>
                <w:color w:val="000000"/>
                <w:szCs w:val="21"/>
              </w:rPr>
            </w:pPr>
            <w:r w:rsidRPr="008C4B2A">
              <w:rPr>
                <w:rFonts w:ascii="Times New Roman" w:eastAsia="宋体" w:hAnsi="宋体" w:cs="Times New Roman"/>
                <w:color w:val="000000"/>
                <w:kern w:val="0"/>
                <w:szCs w:val="21"/>
              </w:rPr>
              <w:t>其他应付款</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451,065.51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7.50</w:t>
            </w:r>
          </w:p>
        </w:tc>
        <w:tc>
          <w:tcPr>
            <w:tcW w:w="141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485,137.79 </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7.98</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103,083.27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2.00</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94,512.50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1.93</w:t>
            </w:r>
          </w:p>
        </w:tc>
      </w:tr>
      <w:tr w:rsidR="00AD4E12" w:rsidRPr="008C4B2A" w:rsidTr="00B862E5">
        <w:trPr>
          <w:trHeight w:val="397"/>
          <w:jc w:val="center"/>
        </w:trPr>
        <w:tc>
          <w:tcPr>
            <w:tcW w:w="1701" w:type="dxa"/>
            <w:vAlign w:val="center"/>
          </w:tcPr>
          <w:p w:rsidR="00B4600A" w:rsidRPr="008C4B2A" w:rsidRDefault="00B4600A" w:rsidP="008C4B2A">
            <w:pPr>
              <w:widowControl/>
              <w:jc w:val="left"/>
              <w:textAlignment w:val="center"/>
              <w:rPr>
                <w:rFonts w:ascii="Times New Roman" w:eastAsia="宋体" w:hAnsi="Times New Roman" w:cs="Times New Roman"/>
                <w:color w:val="000000"/>
                <w:szCs w:val="21"/>
              </w:rPr>
            </w:pPr>
            <w:r w:rsidRPr="008C4B2A">
              <w:rPr>
                <w:rFonts w:ascii="Times New Roman" w:eastAsia="宋体" w:hAnsi="宋体" w:cs="Times New Roman"/>
                <w:color w:val="000000"/>
                <w:kern w:val="0"/>
                <w:szCs w:val="21"/>
              </w:rPr>
              <w:t>一年内到期的非流动负债</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849,155.95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14.12</w:t>
            </w:r>
          </w:p>
        </w:tc>
        <w:tc>
          <w:tcPr>
            <w:tcW w:w="1410"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1,200,331.51 </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19.75</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608,979.84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11.80</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 xml:space="preserve">336,769.47 </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6.87</w:t>
            </w:r>
          </w:p>
        </w:tc>
      </w:tr>
      <w:tr w:rsidR="00AD4E12" w:rsidRPr="008C4B2A" w:rsidTr="00B862E5">
        <w:trPr>
          <w:trHeight w:val="397"/>
          <w:jc w:val="center"/>
        </w:trPr>
        <w:tc>
          <w:tcPr>
            <w:tcW w:w="1701" w:type="dxa"/>
            <w:vAlign w:val="center"/>
          </w:tcPr>
          <w:p w:rsidR="00B4600A" w:rsidRPr="008C4B2A" w:rsidRDefault="00B4600A" w:rsidP="008C4B2A">
            <w:pPr>
              <w:widowControl/>
              <w:jc w:val="left"/>
              <w:textAlignment w:val="center"/>
              <w:rPr>
                <w:rFonts w:ascii="Times New Roman" w:eastAsia="宋体" w:hAnsi="Times New Roman" w:cs="Times New Roman"/>
                <w:color w:val="000000"/>
                <w:szCs w:val="21"/>
              </w:rPr>
            </w:pPr>
            <w:r w:rsidRPr="008C4B2A">
              <w:rPr>
                <w:rFonts w:ascii="Times New Roman" w:eastAsia="宋体" w:hAnsi="宋体" w:cs="Times New Roman"/>
                <w:color w:val="000000"/>
                <w:kern w:val="0"/>
                <w:szCs w:val="21"/>
              </w:rPr>
              <w:t>流动负债合计</w:t>
            </w:r>
          </w:p>
        </w:tc>
        <w:tc>
          <w:tcPr>
            <w:tcW w:w="1418" w:type="dxa"/>
            <w:vAlign w:val="center"/>
          </w:tcPr>
          <w:p w:rsidR="00B4600A" w:rsidRPr="00AD4E12" w:rsidRDefault="00B4600A" w:rsidP="00AD4E12">
            <w:pPr>
              <w:jc w:val="right"/>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2,792,678.94</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46.43</w:t>
            </w:r>
          </w:p>
        </w:tc>
        <w:tc>
          <w:tcPr>
            <w:tcW w:w="1410" w:type="dxa"/>
            <w:vAlign w:val="center"/>
          </w:tcPr>
          <w:p w:rsidR="00B4600A" w:rsidRPr="00AD4E12" w:rsidRDefault="00B4600A" w:rsidP="00AD4E12">
            <w:pPr>
              <w:widowControl/>
              <w:jc w:val="right"/>
              <w:textAlignment w:val="center"/>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3,321,920.96</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54.65</w:t>
            </w:r>
          </w:p>
        </w:tc>
        <w:tc>
          <w:tcPr>
            <w:tcW w:w="1418" w:type="dxa"/>
            <w:vAlign w:val="center"/>
          </w:tcPr>
          <w:p w:rsidR="00B4600A" w:rsidRPr="00AD4E12" w:rsidRDefault="00B4600A" w:rsidP="00AD4E12">
            <w:pPr>
              <w:widowControl/>
              <w:jc w:val="right"/>
              <w:textAlignment w:val="center"/>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2,727,855.21</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52.85</w:t>
            </w:r>
          </w:p>
        </w:tc>
        <w:tc>
          <w:tcPr>
            <w:tcW w:w="1418" w:type="dxa"/>
            <w:vAlign w:val="center"/>
          </w:tcPr>
          <w:p w:rsidR="00B4600A" w:rsidRPr="00AD4E12" w:rsidRDefault="00B4600A" w:rsidP="00AD4E12">
            <w:pPr>
              <w:widowControl/>
              <w:jc w:val="right"/>
              <w:textAlignment w:val="center"/>
              <w:rPr>
                <w:rFonts w:ascii="Times New Roman" w:eastAsia="宋体" w:hAnsi="Times New Roman" w:cs="Times New Roman"/>
                <w:color w:val="000000"/>
                <w:szCs w:val="21"/>
              </w:rPr>
            </w:pPr>
            <w:r w:rsidRPr="00AD4E12">
              <w:rPr>
                <w:rFonts w:ascii="Times New Roman" w:eastAsia="宋体" w:hAnsi="Times New Roman" w:cs="Times New Roman"/>
                <w:color w:val="000000"/>
                <w:szCs w:val="21"/>
              </w:rPr>
              <w:t>3,071,217.44</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62.70</w:t>
            </w:r>
          </w:p>
        </w:tc>
      </w:tr>
      <w:tr w:rsidR="00AD4E12" w:rsidRPr="008C4B2A" w:rsidTr="00B862E5">
        <w:trPr>
          <w:trHeight w:val="397"/>
          <w:jc w:val="center"/>
        </w:trPr>
        <w:tc>
          <w:tcPr>
            <w:tcW w:w="1701" w:type="dxa"/>
            <w:vAlign w:val="center"/>
          </w:tcPr>
          <w:p w:rsidR="00B4600A" w:rsidRPr="00076CBA" w:rsidRDefault="00B4600A" w:rsidP="00B4600A">
            <w:pPr>
              <w:widowControl/>
              <w:jc w:val="left"/>
              <w:textAlignment w:val="center"/>
              <w:rPr>
                <w:color w:val="000000"/>
                <w:szCs w:val="21"/>
              </w:rPr>
            </w:pPr>
            <w:r w:rsidRPr="00076CBA">
              <w:rPr>
                <w:rFonts w:hint="eastAsia"/>
                <w:color w:val="000000"/>
                <w:kern w:val="0"/>
                <w:szCs w:val="21"/>
              </w:rPr>
              <w:lastRenderedPageBreak/>
              <w:t>长</w:t>
            </w:r>
            <w:r w:rsidRPr="00076CBA">
              <w:rPr>
                <w:color w:val="000000"/>
                <w:kern w:val="0"/>
                <w:szCs w:val="21"/>
              </w:rPr>
              <w:t>期借款</w:t>
            </w:r>
          </w:p>
        </w:tc>
        <w:tc>
          <w:tcPr>
            <w:tcW w:w="1418" w:type="dxa"/>
            <w:vAlign w:val="center"/>
          </w:tcPr>
          <w:p w:rsidR="00B4600A" w:rsidRPr="00AD4E12" w:rsidRDefault="00B4600A" w:rsidP="00AD4E12">
            <w:pPr>
              <w:jc w:val="right"/>
              <w:rPr>
                <w:rFonts w:ascii="Times New Roman" w:hAnsi="Times New Roman" w:cs="Times New Roman"/>
                <w:color w:val="000000"/>
                <w:szCs w:val="21"/>
              </w:rPr>
            </w:pPr>
            <w:r w:rsidRPr="00AD4E12">
              <w:rPr>
                <w:rFonts w:ascii="Times New Roman" w:hAnsi="Times New Roman" w:cs="Times New Roman"/>
                <w:color w:val="000000"/>
                <w:szCs w:val="21"/>
              </w:rPr>
              <w:t>2,738,184.47</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45.52</w:t>
            </w:r>
          </w:p>
        </w:tc>
        <w:tc>
          <w:tcPr>
            <w:tcW w:w="1410" w:type="dxa"/>
            <w:vAlign w:val="center"/>
          </w:tcPr>
          <w:p w:rsidR="00B4600A" w:rsidRPr="00AD4E12" w:rsidRDefault="00B4600A" w:rsidP="00AD4E12">
            <w:pPr>
              <w:widowControl/>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2,582,497.25</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42.49</w:t>
            </w:r>
          </w:p>
        </w:tc>
        <w:tc>
          <w:tcPr>
            <w:tcW w:w="1418" w:type="dxa"/>
            <w:vAlign w:val="center"/>
          </w:tcPr>
          <w:p w:rsidR="00B4600A" w:rsidRPr="00AD4E12" w:rsidRDefault="00B4600A" w:rsidP="00AD4E12">
            <w:pPr>
              <w:widowControl/>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2,285,377.15</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44.28</w:t>
            </w:r>
          </w:p>
        </w:tc>
        <w:tc>
          <w:tcPr>
            <w:tcW w:w="1418" w:type="dxa"/>
            <w:vAlign w:val="center"/>
          </w:tcPr>
          <w:p w:rsidR="00B4600A" w:rsidRPr="00AD4E12" w:rsidRDefault="00B4600A" w:rsidP="00AD4E12">
            <w:pPr>
              <w:widowControl/>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1,343,666.46</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27.43</w:t>
            </w:r>
          </w:p>
        </w:tc>
      </w:tr>
      <w:tr w:rsidR="00AD4E12" w:rsidRPr="008C4B2A" w:rsidTr="00B862E5">
        <w:trPr>
          <w:trHeight w:val="397"/>
          <w:jc w:val="center"/>
        </w:trPr>
        <w:tc>
          <w:tcPr>
            <w:tcW w:w="1701" w:type="dxa"/>
            <w:vAlign w:val="center"/>
          </w:tcPr>
          <w:p w:rsidR="00B4600A" w:rsidRPr="00076CBA" w:rsidRDefault="00B4600A" w:rsidP="00B4600A">
            <w:pPr>
              <w:widowControl/>
              <w:jc w:val="left"/>
              <w:textAlignment w:val="center"/>
              <w:rPr>
                <w:color w:val="000000"/>
                <w:szCs w:val="21"/>
              </w:rPr>
            </w:pPr>
            <w:r w:rsidRPr="00076CBA">
              <w:rPr>
                <w:rFonts w:hint="eastAsia"/>
                <w:color w:val="000000"/>
                <w:kern w:val="0"/>
                <w:szCs w:val="21"/>
              </w:rPr>
              <w:t>应付债券</w:t>
            </w:r>
          </w:p>
        </w:tc>
        <w:tc>
          <w:tcPr>
            <w:tcW w:w="1418" w:type="dxa"/>
            <w:vAlign w:val="center"/>
          </w:tcPr>
          <w:p w:rsidR="00B4600A" w:rsidRPr="00AD4E12" w:rsidRDefault="00B4600A" w:rsidP="00AD4E12">
            <w:pPr>
              <w:ind w:right="100"/>
              <w:jc w:val="right"/>
              <w:rPr>
                <w:rFonts w:ascii="Times New Roman" w:hAnsi="Times New Roman" w:cs="Times New Roman"/>
                <w:color w:val="000000"/>
                <w:szCs w:val="21"/>
              </w:rPr>
            </w:pPr>
            <w:r w:rsidRPr="00AD4E12">
              <w:rPr>
                <w:rFonts w:ascii="Times New Roman" w:hAnsi="Times New Roman" w:cs="Times New Roman"/>
                <w:color w:val="000000"/>
                <w:szCs w:val="21"/>
              </w:rPr>
              <w:t>280,591.34</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4.66</w:t>
            </w:r>
          </w:p>
        </w:tc>
        <w:tc>
          <w:tcPr>
            <w:tcW w:w="1410" w:type="dxa"/>
            <w:vAlign w:val="center"/>
          </w:tcPr>
          <w:p w:rsidR="00B4600A" w:rsidRPr="00AD4E12" w:rsidRDefault="00B4600A" w:rsidP="00AD4E12">
            <w:pPr>
              <w:widowControl/>
              <w:ind w:right="100"/>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w:t>
            </w:r>
          </w:p>
        </w:tc>
        <w:tc>
          <w:tcPr>
            <w:tcW w:w="858" w:type="dxa"/>
            <w:vAlign w:val="center"/>
          </w:tcPr>
          <w:p w:rsidR="00B4600A" w:rsidRPr="00AD4E12" w:rsidRDefault="00B4600A" w:rsidP="00AD4E12">
            <w:pPr>
              <w:jc w:val="right"/>
              <w:rPr>
                <w:rFonts w:ascii="Times New Roman" w:eastAsia="宋体" w:hAnsi="Times New Roman" w:cs="Times New Roman"/>
                <w:color w:val="000000"/>
                <w:szCs w:val="21"/>
              </w:rPr>
            </w:pPr>
          </w:p>
        </w:tc>
        <w:tc>
          <w:tcPr>
            <w:tcW w:w="1418" w:type="dxa"/>
            <w:vAlign w:val="center"/>
          </w:tcPr>
          <w:p w:rsidR="00B4600A" w:rsidRPr="00AD4E12" w:rsidRDefault="00B4600A" w:rsidP="00AD4E12">
            <w:pPr>
              <w:widowControl/>
              <w:ind w:right="100"/>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w:t>
            </w:r>
          </w:p>
        </w:tc>
        <w:tc>
          <w:tcPr>
            <w:tcW w:w="850" w:type="dxa"/>
            <w:vAlign w:val="center"/>
          </w:tcPr>
          <w:p w:rsidR="00B4600A" w:rsidRPr="00AD4E12" w:rsidRDefault="00B4600A" w:rsidP="00AD4E12">
            <w:pPr>
              <w:jc w:val="right"/>
              <w:rPr>
                <w:rFonts w:ascii="Times New Roman" w:eastAsia="宋体" w:hAnsi="Times New Roman" w:cs="Times New Roman"/>
                <w:color w:val="000000"/>
                <w:szCs w:val="21"/>
              </w:rPr>
            </w:pPr>
          </w:p>
        </w:tc>
        <w:tc>
          <w:tcPr>
            <w:tcW w:w="1418" w:type="dxa"/>
            <w:vAlign w:val="center"/>
          </w:tcPr>
          <w:p w:rsidR="00B4600A" w:rsidRPr="00AD4E12" w:rsidRDefault="00B4600A" w:rsidP="00AD4E12">
            <w:pPr>
              <w:widowControl/>
              <w:ind w:right="100"/>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341,650.16</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6.97</w:t>
            </w:r>
          </w:p>
        </w:tc>
      </w:tr>
      <w:tr w:rsidR="00AD4E12" w:rsidRPr="008C4B2A" w:rsidTr="00B862E5">
        <w:trPr>
          <w:trHeight w:val="397"/>
          <w:jc w:val="center"/>
        </w:trPr>
        <w:tc>
          <w:tcPr>
            <w:tcW w:w="1701" w:type="dxa"/>
            <w:vAlign w:val="center"/>
          </w:tcPr>
          <w:p w:rsidR="00B4600A" w:rsidRPr="00076CBA" w:rsidRDefault="00B4600A" w:rsidP="00B4600A">
            <w:pPr>
              <w:widowControl/>
              <w:jc w:val="left"/>
              <w:textAlignment w:val="center"/>
              <w:rPr>
                <w:color w:val="000000"/>
                <w:szCs w:val="21"/>
              </w:rPr>
            </w:pPr>
            <w:r w:rsidRPr="00076CBA">
              <w:rPr>
                <w:color w:val="000000"/>
                <w:kern w:val="0"/>
                <w:szCs w:val="21"/>
              </w:rPr>
              <w:t>非流动负债合计</w:t>
            </w:r>
          </w:p>
        </w:tc>
        <w:tc>
          <w:tcPr>
            <w:tcW w:w="1418" w:type="dxa"/>
            <w:vAlign w:val="center"/>
          </w:tcPr>
          <w:p w:rsidR="00B4600A" w:rsidRPr="00AD4E12" w:rsidRDefault="00B4600A" w:rsidP="00AD4E12">
            <w:pPr>
              <w:jc w:val="right"/>
              <w:rPr>
                <w:rFonts w:ascii="Times New Roman" w:hAnsi="Times New Roman" w:cs="Times New Roman"/>
                <w:color w:val="000000"/>
                <w:szCs w:val="21"/>
              </w:rPr>
            </w:pPr>
            <w:r w:rsidRPr="00AD4E12">
              <w:rPr>
                <w:rFonts w:ascii="Times New Roman" w:hAnsi="Times New Roman" w:cs="Times New Roman"/>
                <w:color w:val="000000"/>
                <w:szCs w:val="21"/>
              </w:rPr>
              <w:t>3,222,510.68</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53.57</w:t>
            </w:r>
          </w:p>
        </w:tc>
        <w:tc>
          <w:tcPr>
            <w:tcW w:w="1410" w:type="dxa"/>
            <w:vAlign w:val="center"/>
          </w:tcPr>
          <w:p w:rsidR="00B4600A" w:rsidRPr="00AD4E12" w:rsidRDefault="00B4600A" w:rsidP="00AD4E12">
            <w:pPr>
              <w:widowControl/>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2,756,536.57</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45.35</w:t>
            </w:r>
          </w:p>
        </w:tc>
        <w:tc>
          <w:tcPr>
            <w:tcW w:w="1418" w:type="dxa"/>
            <w:vAlign w:val="center"/>
          </w:tcPr>
          <w:p w:rsidR="00B4600A" w:rsidRPr="00AD4E12" w:rsidRDefault="00B4600A" w:rsidP="00AD4E12">
            <w:pPr>
              <w:widowControl/>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2,433,637.15</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47.15</w:t>
            </w:r>
          </w:p>
        </w:tc>
        <w:tc>
          <w:tcPr>
            <w:tcW w:w="1418" w:type="dxa"/>
            <w:vAlign w:val="center"/>
          </w:tcPr>
          <w:p w:rsidR="00B4600A" w:rsidRPr="00AD4E12" w:rsidRDefault="00B4600A" w:rsidP="00AD4E12">
            <w:pPr>
              <w:widowControl/>
              <w:jc w:val="right"/>
              <w:textAlignment w:val="center"/>
              <w:rPr>
                <w:rFonts w:ascii="Times New Roman" w:hAnsi="Times New Roman" w:cs="Times New Roman"/>
                <w:color w:val="000000"/>
                <w:szCs w:val="21"/>
              </w:rPr>
            </w:pPr>
            <w:r w:rsidRPr="00AD4E12">
              <w:rPr>
                <w:rFonts w:ascii="Times New Roman" w:hAnsi="Times New Roman" w:cs="Times New Roman"/>
                <w:color w:val="000000"/>
                <w:szCs w:val="21"/>
              </w:rPr>
              <w:t>1,827,259.15</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37.30</w:t>
            </w:r>
          </w:p>
        </w:tc>
      </w:tr>
      <w:tr w:rsidR="00AD4E12" w:rsidRPr="008C4B2A" w:rsidTr="00B862E5">
        <w:trPr>
          <w:trHeight w:val="397"/>
          <w:jc w:val="center"/>
        </w:trPr>
        <w:tc>
          <w:tcPr>
            <w:tcW w:w="1701" w:type="dxa"/>
            <w:vAlign w:val="center"/>
          </w:tcPr>
          <w:p w:rsidR="00B4600A" w:rsidRPr="00A27CD7" w:rsidRDefault="00B4600A" w:rsidP="00B4600A">
            <w:pPr>
              <w:widowControl/>
              <w:textAlignment w:val="center"/>
              <w:rPr>
                <w:color w:val="000000"/>
                <w:szCs w:val="21"/>
              </w:rPr>
            </w:pPr>
            <w:r w:rsidRPr="00A27CD7">
              <w:rPr>
                <w:rFonts w:hAnsi="宋体"/>
                <w:color w:val="000000"/>
                <w:kern w:val="0"/>
                <w:szCs w:val="21"/>
              </w:rPr>
              <w:t>负债合计</w:t>
            </w:r>
          </w:p>
        </w:tc>
        <w:tc>
          <w:tcPr>
            <w:tcW w:w="1418" w:type="dxa"/>
            <w:vAlign w:val="center"/>
          </w:tcPr>
          <w:p w:rsidR="00B4600A" w:rsidRPr="00AD4E12" w:rsidRDefault="00B4600A" w:rsidP="00AD4E12">
            <w:pPr>
              <w:jc w:val="right"/>
              <w:rPr>
                <w:rFonts w:ascii="Times New Roman" w:hAnsi="Times New Roman" w:cs="Times New Roman"/>
                <w:color w:val="000000"/>
                <w:szCs w:val="21"/>
              </w:rPr>
            </w:pPr>
            <w:r w:rsidRPr="00AD4E12">
              <w:rPr>
                <w:rFonts w:ascii="Times New Roman" w:hAnsi="Times New Roman" w:cs="Times New Roman"/>
                <w:color w:val="000000"/>
                <w:szCs w:val="21"/>
              </w:rPr>
              <w:t>6,015,189.62</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100.00</w:t>
            </w:r>
          </w:p>
        </w:tc>
        <w:tc>
          <w:tcPr>
            <w:tcW w:w="1410" w:type="dxa"/>
            <w:vAlign w:val="center"/>
          </w:tcPr>
          <w:p w:rsidR="00B4600A" w:rsidRPr="00AD4E12" w:rsidRDefault="00B4600A" w:rsidP="00AD4E12">
            <w:pPr>
              <w:jc w:val="right"/>
              <w:rPr>
                <w:rFonts w:ascii="Times New Roman" w:hAnsi="Times New Roman" w:cs="Times New Roman"/>
                <w:color w:val="000000"/>
                <w:szCs w:val="21"/>
              </w:rPr>
            </w:pPr>
            <w:r w:rsidRPr="00AD4E12">
              <w:rPr>
                <w:rFonts w:ascii="Times New Roman" w:hAnsi="Times New Roman" w:cs="Times New Roman"/>
                <w:color w:val="000000"/>
                <w:szCs w:val="21"/>
              </w:rPr>
              <w:t>6,078,457.54</w:t>
            </w:r>
          </w:p>
        </w:tc>
        <w:tc>
          <w:tcPr>
            <w:tcW w:w="858"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100.00</w:t>
            </w:r>
          </w:p>
        </w:tc>
        <w:tc>
          <w:tcPr>
            <w:tcW w:w="1418" w:type="dxa"/>
            <w:vAlign w:val="center"/>
          </w:tcPr>
          <w:p w:rsidR="00B4600A" w:rsidRPr="00AD4E12" w:rsidRDefault="00B4600A" w:rsidP="00AD4E12">
            <w:pPr>
              <w:widowControl/>
              <w:jc w:val="right"/>
              <w:textAlignment w:val="bottom"/>
              <w:rPr>
                <w:rFonts w:ascii="Times New Roman" w:hAnsi="Times New Roman" w:cs="Times New Roman"/>
                <w:color w:val="000000"/>
                <w:szCs w:val="21"/>
              </w:rPr>
            </w:pPr>
            <w:r w:rsidRPr="00AD4E12">
              <w:rPr>
                <w:rFonts w:ascii="Times New Roman" w:hAnsi="Times New Roman" w:cs="Times New Roman"/>
                <w:color w:val="000000"/>
                <w:szCs w:val="21"/>
              </w:rPr>
              <w:t>5,161,492.36</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100.00</w:t>
            </w:r>
          </w:p>
        </w:tc>
        <w:tc>
          <w:tcPr>
            <w:tcW w:w="1418" w:type="dxa"/>
            <w:vAlign w:val="center"/>
          </w:tcPr>
          <w:p w:rsidR="00B4600A" w:rsidRPr="00AD4E12" w:rsidRDefault="00B4600A" w:rsidP="00AD4E12">
            <w:pPr>
              <w:widowControl/>
              <w:jc w:val="right"/>
              <w:textAlignment w:val="bottom"/>
              <w:rPr>
                <w:rFonts w:ascii="Times New Roman" w:hAnsi="Times New Roman" w:cs="Times New Roman"/>
                <w:color w:val="000000"/>
                <w:szCs w:val="21"/>
              </w:rPr>
            </w:pPr>
            <w:r w:rsidRPr="00AD4E12">
              <w:rPr>
                <w:rFonts w:ascii="Times New Roman" w:hAnsi="Times New Roman" w:cs="Times New Roman"/>
                <w:color w:val="000000"/>
                <w:szCs w:val="21"/>
              </w:rPr>
              <w:t>4,898,476.59</w:t>
            </w:r>
          </w:p>
        </w:tc>
        <w:tc>
          <w:tcPr>
            <w:tcW w:w="850" w:type="dxa"/>
            <w:vAlign w:val="center"/>
          </w:tcPr>
          <w:p w:rsidR="00B4600A" w:rsidRPr="00AD4E12" w:rsidRDefault="00AD4E12" w:rsidP="00AD4E12">
            <w:pPr>
              <w:jc w:val="right"/>
              <w:rPr>
                <w:rFonts w:ascii="Times New Roman" w:eastAsia="宋体" w:hAnsi="Times New Roman" w:cs="Times New Roman"/>
                <w:color w:val="000000"/>
                <w:szCs w:val="21"/>
              </w:rPr>
            </w:pPr>
            <w:r w:rsidRPr="00AD4E12">
              <w:rPr>
                <w:rFonts w:ascii="Times New Roman" w:hAnsi="Times New Roman" w:cs="Times New Roman"/>
                <w:color w:val="000000"/>
                <w:szCs w:val="21"/>
              </w:rPr>
              <w:t>100.00</w:t>
            </w:r>
          </w:p>
        </w:tc>
      </w:tr>
    </w:tbl>
    <w:p w:rsidR="00263608" w:rsidRDefault="00AD4E12" w:rsidP="00AD4E12">
      <w:pPr>
        <w:autoSpaceDE w:val="0"/>
        <w:autoSpaceDN w:val="0"/>
        <w:adjustRightInd w:val="0"/>
        <w:spacing w:line="360" w:lineRule="auto"/>
        <w:ind w:firstLineChars="200" w:firstLine="480"/>
        <w:rPr>
          <w:rFonts w:ascii="Times New Roman" w:hAnsi="Times New Roman" w:cs="Times New Roman"/>
          <w:kern w:val="0"/>
          <w:sz w:val="24"/>
          <w:szCs w:val="24"/>
        </w:rPr>
      </w:pPr>
      <w:r w:rsidRPr="00AD4E12">
        <w:rPr>
          <w:rFonts w:ascii="Times New Roman" w:hAnsi="Times New Roman" w:cs="Times New Roman"/>
          <w:kern w:val="0"/>
          <w:sz w:val="24"/>
          <w:szCs w:val="24"/>
        </w:rPr>
        <w:t>截至</w:t>
      </w:r>
      <w:r w:rsidRPr="00AD4E12">
        <w:rPr>
          <w:rFonts w:ascii="Times New Roman" w:hAnsi="Times New Roman" w:cs="Times New Roman"/>
          <w:kern w:val="0"/>
          <w:sz w:val="24"/>
          <w:szCs w:val="24"/>
        </w:rPr>
        <w:t>2012</w:t>
      </w:r>
      <w:r w:rsidRPr="00AD4E12">
        <w:rPr>
          <w:rFonts w:ascii="Times New Roman" w:hAnsi="Times New Roman" w:cs="Times New Roman"/>
          <w:kern w:val="0"/>
          <w:sz w:val="24"/>
          <w:szCs w:val="24"/>
        </w:rPr>
        <w:t>年末、</w:t>
      </w:r>
      <w:r w:rsidRPr="00AD4E12">
        <w:rPr>
          <w:rFonts w:ascii="Times New Roman" w:hAnsi="Times New Roman" w:cs="Times New Roman"/>
          <w:kern w:val="0"/>
          <w:sz w:val="24"/>
          <w:szCs w:val="24"/>
        </w:rPr>
        <w:t>2013</w:t>
      </w:r>
      <w:r w:rsidRPr="00AD4E12">
        <w:rPr>
          <w:rFonts w:ascii="Times New Roman" w:hAnsi="Times New Roman" w:cs="Times New Roman"/>
          <w:kern w:val="0"/>
          <w:sz w:val="24"/>
          <w:szCs w:val="24"/>
        </w:rPr>
        <w:t>年末、</w:t>
      </w:r>
      <w:r w:rsidRPr="00AD4E12">
        <w:rPr>
          <w:rFonts w:ascii="Times New Roman" w:hAnsi="Times New Roman" w:cs="Times New Roman"/>
          <w:kern w:val="0"/>
          <w:sz w:val="24"/>
          <w:szCs w:val="24"/>
        </w:rPr>
        <w:t>2014</w:t>
      </w:r>
      <w:r w:rsidRPr="00AD4E12">
        <w:rPr>
          <w:rFonts w:ascii="Times New Roman" w:hAnsi="Times New Roman" w:cs="Times New Roman"/>
          <w:kern w:val="0"/>
          <w:sz w:val="24"/>
          <w:szCs w:val="24"/>
        </w:rPr>
        <w:t>年末和</w:t>
      </w:r>
      <w:r w:rsidRPr="00AD4E12">
        <w:rPr>
          <w:rFonts w:ascii="Times New Roman" w:hAnsi="Times New Roman" w:cs="Times New Roman"/>
          <w:kern w:val="0"/>
          <w:sz w:val="24"/>
          <w:szCs w:val="24"/>
        </w:rPr>
        <w:t>2015</w:t>
      </w:r>
      <w:r w:rsidRPr="00AD4E12">
        <w:rPr>
          <w:rFonts w:ascii="Times New Roman" w:hAnsi="Times New Roman" w:cs="Times New Roman"/>
          <w:kern w:val="0"/>
          <w:sz w:val="24"/>
          <w:szCs w:val="24"/>
        </w:rPr>
        <w:t>年</w:t>
      </w:r>
      <w:r w:rsidRPr="00AD4E12">
        <w:rPr>
          <w:rFonts w:ascii="Times New Roman" w:hAnsi="Times New Roman" w:cs="Times New Roman"/>
          <w:kern w:val="0"/>
          <w:sz w:val="24"/>
          <w:szCs w:val="24"/>
        </w:rPr>
        <w:t>3</w:t>
      </w:r>
      <w:r w:rsidRPr="00AD4E12">
        <w:rPr>
          <w:rFonts w:ascii="Times New Roman" w:hAnsi="Times New Roman" w:cs="Times New Roman"/>
          <w:kern w:val="0"/>
          <w:sz w:val="24"/>
          <w:szCs w:val="24"/>
        </w:rPr>
        <w:t>月末，公司负债总额分别为</w:t>
      </w:r>
      <w:r w:rsidRPr="00AD4E12">
        <w:rPr>
          <w:rFonts w:ascii="Times New Roman" w:hAnsi="Times New Roman" w:cs="Times New Roman"/>
          <w:kern w:val="0"/>
          <w:sz w:val="24"/>
          <w:szCs w:val="24"/>
        </w:rPr>
        <w:t>4,898,476.59</w:t>
      </w:r>
      <w:r w:rsidRPr="00AD4E12">
        <w:rPr>
          <w:rFonts w:ascii="Times New Roman" w:hAnsi="Times New Roman" w:cs="Times New Roman"/>
          <w:kern w:val="0"/>
          <w:sz w:val="24"/>
          <w:szCs w:val="24"/>
        </w:rPr>
        <w:t>万元、</w:t>
      </w:r>
      <w:r w:rsidRPr="00AD4E12">
        <w:rPr>
          <w:rFonts w:ascii="Times New Roman" w:hAnsi="Times New Roman" w:cs="Times New Roman"/>
          <w:kern w:val="0"/>
          <w:sz w:val="24"/>
          <w:szCs w:val="24"/>
        </w:rPr>
        <w:t>5,161,492.36</w:t>
      </w:r>
      <w:r w:rsidRPr="00AD4E12">
        <w:rPr>
          <w:rFonts w:ascii="Times New Roman" w:hAnsi="Times New Roman" w:cs="Times New Roman"/>
          <w:kern w:val="0"/>
          <w:sz w:val="24"/>
          <w:szCs w:val="24"/>
        </w:rPr>
        <w:t>万元、</w:t>
      </w:r>
      <w:r w:rsidRPr="00AD4E12">
        <w:rPr>
          <w:rFonts w:ascii="Times New Roman" w:hAnsi="Times New Roman" w:cs="Times New Roman"/>
          <w:kern w:val="0"/>
          <w:sz w:val="24"/>
          <w:szCs w:val="24"/>
        </w:rPr>
        <w:t>6,078,457.54</w:t>
      </w:r>
      <w:r w:rsidRPr="00AD4E12">
        <w:rPr>
          <w:rFonts w:ascii="Times New Roman" w:hAnsi="Times New Roman" w:cs="Times New Roman"/>
          <w:kern w:val="0"/>
          <w:sz w:val="24"/>
          <w:szCs w:val="24"/>
        </w:rPr>
        <w:t>万元和</w:t>
      </w:r>
      <w:r w:rsidRPr="00AD4E12">
        <w:rPr>
          <w:rFonts w:ascii="Times New Roman" w:hAnsi="Times New Roman" w:cs="Times New Roman"/>
          <w:kern w:val="0"/>
          <w:sz w:val="24"/>
          <w:szCs w:val="24"/>
        </w:rPr>
        <w:t>6,015,189.62</w:t>
      </w:r>
      <w:r w:rsidRPr="00AD4E12">
        <w:rPr>
          <w:rFonts w:ascii="Times New Roman" w:hAnsi="Times New Roman" w:cs="Times New Roman"/>
          <w:kern w:val="0"/>
          <w:sz w:val="24"/>
          <w:szCs w:val="24"/>
        </w:rPr>
        <w:t>万元。随着</w:t>
      </w:r>
      <w:r w:rsidR="00B07C97">
        <w:rPr>
          <w:rFonts w:ascii="Times New Roman" w:hAnsi="Times New Roman" w:cs="Times New Roman"/>
          <w:kern w:val="0"/>
          <w:sz w:val="24"/>
          <w:szCs w:val="24"/>
        </w:rPr>
        <w:t>公司</w:t>
      </w:r>
      <w:r w:rsidRPr="00AD4E12">
        <w:rPr>
          <w:rFonts w:ascii="Times New Roman" w:hAnsi="Times New Roman" w:cs="Times New Roman"/>
          <w:kern w:val="0"/>
          <w:sz w:val="24"/>
          <w:szCs w:val="24"/>
        </w:rPr>
        <w:t>资产规模的增加、生产经营规模的扩大，</w:t>
      </w:r>
      <w:r w:rsidR="00B07C97">
        <w:rPr>
          <w:rFonts w:ascii="Times New Roman" w:hAnsi="Times New Roman" w:cs="Times New Roman"/>
          <w:kern w:val="0"/>
          <w:sz w:val="24"/>
          <w:szCs w:val="24"/>
        </w:rPr>
        <w:t>公司</w:t>
      </w:r>
      <w:r w:rsidRPr="00AD4E12">
        <w:rPr>
          <w:rFonts w:ascii="Times New Roman" w:hAnsi="Times New Roman" w:cs="Times New Roman"/>
          <w:kern w:val="0"/>
          <w:sz w:val="24"/>
          <w:szCs w:val="24"/>
        </w:rPr>
        <w:t>的负债规模也在逐年增加。从负债结构看，公司流动负债分别为</w:t>
      </w:r>
      <w:r w:rsidRPr="00AD4E12">
        <w:rPr>
          <w:rFonts w:ascii="Times New Roman" w:eastAsia="宋体" w:hAnsi="Times New Roman" w:cs="Times New Roman"/>
          <w:color w:val="000000"/>
          <w:sz w:val="24"/>
          <w:szCs w:val="24"/>
        </w:rPr>
        <w:t>3,071,217.44</w:t>
      </w:r>
      <w:r w:rsidRPr="00AD4E12">
        <w:rPr>
          <w:rFonts w:ascii="Times New Roman" w:hAnsi="Times New Roman" w:cs="Times New Roman"/>
          <w:kern w:val="0"/>
          <w:sz w:val="24"/>
          <w:szCs w:val="24"/>
        </w:rPr>
        <w:t>万元、</w:t>
      </w:r>
      <w:r w:rsidRPr="00AD4E12">
        <w:rPr>
          <w:rFonts w:ascii="Times New Roman" w:eastAsia="宋体" w:hAnsi="Times New Roman" w:cs="Times New Roman"/>
          <w:color w:val="000000"/>
          <w:sz w:val="24"/>
          <w:szCs w:val="24"/>
        </w:rPr>
        <w:t>2,727,855.21</w:t>
      </w:r>
      <w:r w:rsidRPr="00AD4E12">
        <w:rPr>
          <w:rFonts w:ascii="Times New Roman" w:hAnsi="Times New Roman" w:cs="Times New Roman"/>
          <w:kern w:val="0"/>
          <w:sz w:val="24"/>
          <w:szCs w:val="24"/>
        </w:rPr>
        <w:t>万元、</w:t>
      </w:r>
      <w:r w:rsidRPr="00AD4E12">
        <w:rPr>
          <w:rFonts w:ascii="Times New Roman" w:hAnsi="Times New Roman" w:cs="Times New Roman"/>
          <w:kern w:val="0"/>
          <w:sz w:val="24"/>
          <w:szCs w:val="24"/>
        </w:rPr>
        <w:t>3,321,920.96</w:t>
      </w:r>
      <w:r w:rsidRPr="00AD4E12">
        <w:rPr>
          <w:rFonts w:ascii="Times New Roman" w:hAnsi="Times New Roman" w:cs="Times New Roman"/>
          <w:kern w:val="0"/>
          <w:sz w:val="24"/>
          <w:szCs w:val="24"/>
        </w:rPr>
        <w:t>万元和</w:t>
      </w:r>
      <w:r w:rsidRPr="00AD4E12">
        <w:rPr>
          <w:rFonts w:ascii="Times New Roman" w:hAnsi="Times New Roman" w:cs="Times New Roman"/>
          <w:kern w:val="0"/>
          <w:sz w:val="24"/>
          <w:szCs w:val="24"/>
        </w:rPr>
        <w:t>2,792,678.94</w:t>
      </w:r>
      <w:r w:rsidRPr="00AD4E12">
        <w:rPr>
          <w:rFonts w:ascii="Times New Roman" w:hAnsi="Times New Roman" w:cs="Times New Roman"/>
          <w:kern w:val="0"/>
          <w:sz w:val="24"/>
          <w:szCs w:val="24"/>
        </w:rPr>
        <w:t>万元，占负债总额的比重分别为</w:t>
      </w:r>
      <w:r w:rsidRPr="00AD4E12">
        <w:rPr>
          <w:rFonts w:ascii="Times New Roman" w:hAnsi="Times New Roman" w:cs="Times New Roman"/>
          <w:kern w:val="0"/>
          <w:sz w:val="24"/>
          <w:szCs w:val="24"/>
        </w:rPr>
        <w:t>62.70%</w:t>
      </w:r>
      <w:r w:rsidRPr="00AD4E12">
        <w:rPr>
          <w:rFonts w:ascii="Times New Roman" w:hAnsi="Times New Roman" w:cs="Times New Roman"/>
          <w:kern w:val="0"/>
          <w:sz w:val="24"/>
          <w:szCs w:val="24"/>
        </w:rPr>
        <w:t>、</w:t>
      </w:r>
      <w:r w:rsidRPr="00AD4E12">
        <w:rPr>
          <w:rFonts w:ascii="Times New Roman" w:hAnsi="Times New Roman" w:cs="Times New Roman"/>
          <w:kern w:val="0"/>
          <w:sz w:val="24"/>
          <w:szCs w:val="24"/>
        </w:rPr>
        <w:t>52.85%</w:t>
      </w:r>
      <w:r w:rsidRPr="00AD4E12">
        <w:rPr>
          <w:rFonts w:ascii="Times New Roman" w:hAnsi="Times New Roman" w:cs="Times New Roman"/>
          <w:kern w:val="0"/>
          <w:sz w:val="24"/>
          <w:szCs w:val="24"/>
        </w:rPr>
        <w:t>、</w:t>
      </w:r>
      <w:r w:rsidRPr="00AD4E12">
        <w:rPr>
          <w:rFonts w:ascii="Times New Roman" w:hAnsi="Times New Roman" w:cs="Times New Roman"/>
          <w:kern w:val="0"/>
          <w:sz w:val="24"/>
          <w:szCs w:val="24"/>
        </w:rPr>
        <w:t>54.65%</w:t>
      </w:r>
      <w:r w:rsidRPr="00AD4E12">
        <w:rPr>
          <w:rFonts w:ascii="Times New Roman" w:hAnsi="Times New Roman" w:cs="Times New Roman"/>
          <w:kern w:val="0"/>
          <w:sz w:val="24"/>
          <w:szCs w:val="24"/>
        </w:rPr>
        <w:t>和</w:t>
      </w:r>
      <w:r w:rsidRPr="00AD4E12">
        <w:rPr>
          <w:rFonts w:ascii="Times New Roman" w:hAnsi="Times New Roman" w:cs="Times New Roman"/>
          <w:kern w:val="0"/>
          <w:sz w:val="24"/>
          <w:szCs w:val="24"/>
        </w:rPr>
        <w:t>46.43%</w:t>
      </w:r>
      <w:r w:rsidRPr="00AD4E12">
        <w:rPr>
          <w:rFonts w:ascii="Times New Roman" w:hAnsi="Times New Roman" w:cs="Times New Roman"/>
          <w:kern w:val="0"/>
          <w:sz w:val="24"/>
          <w:szCs w:val="24"/>
        </w:rPr>
        <w:t>；非流动负债分别为</w:t>
      </w:r>
      <w:r w:rsidRPr="00AD4E12">
        <w:rPr>
          <w:rFonts w:ascii="Times New Roman" w:hAnsi="Times New Roman" w:cs="Times New Roman"/>
          <w:kern w:val="0"/>
          <w:sz w:val="24"/>
          <w:szCs w:val="24"/>
        </w:rPr>
        <w:t>1,827,259.15</w:t>
      </w:r>
      <w:r w:rsidRPr="00AD4E12">
        <w:rPr>
          <w:rFonts w:ascii="Times New Roman" w:hAnsi="Times New Roman" w:cs="Times New Roman"/>
          <w:kern w:val="0"/>
          <w:sz w:val="24"/>
          <w:szCs w:val="24"/>
        </w:rPr>
        <w:t>万元、</w:t>
      </w:r>
      <w:r w:rsidRPr="00AD4E12">
        <w:rPr>
          <w:rFonts w:ascii="Times New Roman" w:hAnsi="Times New Roman" w:cs="Times New Roman"/>
          <w:kern w:val="0"/>
          <w:sz w:val="24"/>
          <w:szCs w:val="24"/>
        </w:rPr>
        <w:t>2,433,637.15</w:t>
      </w:r>
      <w:r w:rsidRPr="00AD4E12">
        <w:rPr>
          <w:rFonts w:ascii="Times New Roman" w:hAnsi="Times New Roman" w:cs="Times New Roman"/>
          <w:kern w:val="0"/>
          <w:sz w:val="24"/>
          <w:szCs w:val="24"/>
        </w:rPr>
        <w:t>万元、</w:t>
      </w:r>
      <w:r w:rsidRPr="00AD4E12">
        <w:rPr>
          <w:rFonts w:ascii="Times New Roman" w:hAnsi="Times New Roman" w:cs="Times New Roman"/>
          <w:kern w:val="0"/>
          <w:sz w:val="24"/>
          <w:szCs w:val="24"/>
        </w:rPr>
        <w:t>2,756,536.57</w:t>
      </w:r>
      <w:r w:rsidRPr="00AD4E12">
        <w:rPr>
          <w:rFonts w:ascii="Times New Roman" w:hAnsi="Times New Roman" w:cs="Times New Roman"/>
          <w:kern w:val="0"/>
          <w:sz w:val="24"/>
          <w:szCs w:val="24"/>
        </w:rPr>
        <w:t>万元和</w:t>
      </w:r>
      <w:r w:rsidRPr="00AD4E12">
        <w:rPr>
          <w:rFonts w:ascii="Times New Roman" w:hAnsi="Times New Roman" w:cs="Times New Roman"/>
          <w:kern w:val="0"/>
          <w:sz w:val="24"/>
          <w:szCs w:val="24"/>
        </w:rPr>
        <w:t>3,222,510.68</w:t>
      </w:r>
      <w:r w:rsidRPr="00AD4E12">
        <w:rPr>
          <w:rFonts w:ascii="Times New Roman" w:hAnsi="Times New Roman" w:cs="Times New Roman"/>
          <w:kern w:val="0"/>
          <w:sz w:val="24"/>
          <w:szCs w:val="24"/>
        </w:rPr>
        <w:t>万元，占负债总额的比例分别为</w:t>
      </w:r>
      <w:r w:rsidRPr="00AD4E12">
        <w:rPr>
          <w:rFonts w:ascii="Times New Roman" w:hAnsi="Times New Roman" w:cs="Times New Roman"/>
          <w:kern w:val="0"/>
          <w:sz w:val="24"/>
          <w:szCs w:val="24"/>
        </w:rPr>
        <w:t>37.30%</w:t>
      </w:r>
      <w:r w:rsidRPr="00AD4E12">
        <w:rPr>
          <w:rFonts w:ascii="Times New Roman" w:hAnsi="Times New Roman" w:cs="Times New Roman"/>
          <w:kern w:val="0"/>
          <w:sz w:val="24"/>
          <w:szCs w:val="24"/>
        </w:rPr>
        <w:t>、</w:t>
      </w:r>
      <w:r w:rsidRPr="00AD4E12">
        <w:rPr>
          <w:rFonts w:ascii="Times New Roman" w:hAnsi="Times New Roman" w:cs="Times New Roman"/>
          <w:kern w:val="0"/>
          <w:sz w:val="24"/>
          <w:szCs w:val="24"/>
        </w:rPr>
        <w:t>47.15%</w:t>
      </w:r>
      <w:r w:rsidRPr="00AD4E12">
        <w:rPr>
          <w:rFonts w:ascii="Times New Roman" w:hAnsi="Times New Roman" w:cs="Times New Roman"/>
          <w:kern w:val="0"/>
          <w:sz w:val="24"/>
          <w:szCs w:val="24"/>
        </w:rPr>
        <w:t>、</w:t>
      </w:r>
      <w:r w:rsidRPr="00AD4E12">
        <w:rPr>
          <w:rFonts w:ascii="Times New Roman" w:hAnsi="Times New Roman" w:cs="Times New Roman"/>
          <w:kern w:val="0"/>
          <w:sz w:val="24"/>
          <w:szCs w:val="24"/>
        </w:rPr>
        <w:t>45.35%</w:t>
      </w:r>
      <w:r w:rsidRPr="00AD4E12">
        <w:rPr>
          <w:rFonts w:ascii="Times New Roman" w:hAnsi="Times New Roman" w:cs="Times New Roman"/>
          <w:kern w:val="0"/>
          <w:sz w:val="24"/>
          <w:szCs w:val="24"/>
        </w:rPr>
        <w:t>和</w:t>
      </w:r>
      <w:r w:rsidRPr="00AD4E12">
        <w:rPr>
          <w:rFonts w:ascii="Times New Roman" w:hAnsi="Times New Roman" w:cs="Times New Roman"/>
          <w:kern w:val="0"/>
          <w:sz w:val="24"/>
          <w:szCs w:val="24"/>
        </w:rPr>
        <w:t>53.57%</w:t>
      </w:r>
      <w:r>
        <w:rPr>
          <w:rFonts w:ascii="Times New Roman" w:hAnsi="Times New Roman" w:cs="Times New Roman" w:hint="eastAsia"/>
          <w:kern w:val="0"/>
          <w:sz w:val="24"/>
          <w:szCs w:val="24"/>
        </w:rPr>
        <w:t>，</w:t>
      </w:r>
      <w:r w:rsidRPr="00AD4E12">
        <w:rPr>
          <w:rFonts w:ascii="Times New Roman" w:hAnsi="Times New Roman" w:cs="Times New Roman"/>
          <w:kern w:val="0"/>
          <w:sz w:val="24"/>
          <w:szCs w:val="24"/>
        </w:rPr>
        <w:t>非流动负债</w:t>
      </w:r>
      <w:r>
        <w:rPr>
          <w:rFonts w:ascii="Times New Roman" w:hAnsi="Times New Roman" w:cs="Times New Roman" w:hint="eastAsia"/>
          <w:kern w:val="0"/>
          <w:sz w:val="24"/>
          <w:szCs w:val="24"/>
        </w:rPr>
        <w:t>占比</w:t>
      </w:r>
      <w:r w:rsidRPr="00AD4E12">
        <w:rPr>
          <w:rFonts w:ascii="Times New Roman" w:hAnsi="Times New Roman" w:cs="Times New Roman"/>
          <w:kern w:val="0"/>
          <w:sz w:val="24"/>
          <w:szCs w:val="24"/>
        </w:rPr>
        <w:t>总体上升，流动负债</w:t>
      </w:r>
      <w:r>
        <w:rPr>
          <w:rFonts w:ascii="Times New Roman" w:hAnsi="Times New Roman" w:cs="Times New Roman" w:hint="eastAsia"/>
          <w:kern w:val="0"/>
          <w:sz w:val="24"/>
          <w:szCs w:val="24"/>
        </w:rPr>
        <w:t>占比</w:t>
      </w:r>
      <w:r w:rsidRPr="00AD4E12">
        <w:rPr>
          <w:rFonts w:ascii="Times New Roman" w:hAnsi="Times New Roman" w:cs="Times New Roman"/>
          <w:kern w:val="0"/>
          <w:sz w:val="24"/>
          <w:szCs w:val="24"/>
        </w:rPr>
        <w:t>总体下降。</w:t>
      </w:r>
    </w:p>
    <w:p w:rsidR="00AD4E12" w:rsidRDefault="00AD4E12" w:rsidP="000949BF">
      <w:pPr>
        <w:autoSpaceDE w:val="0"/>
        <w:autoSpaceDN w:val="0"/>
        <w:adjustRightInd w:val="0"/>
        <w:spacing w:line="360" w:lineRule="auto"/>
        <w:ind w:firstLineChars="200" w:firstLine="480"/>
        <w:jc w:val="left"/>
        <w:outlineLvl w:val="0"/>
        <w:rPr>
          <w:rFonts w:ascii="Times New Roman" w:eastAsia="宋体" w:hAnsi="Times New Roman" w:cs="Times New Roman"/>
          <w:color w:val="000000"/>
          <w:kern w:val="0"/>
          <w:sz w:val="24"/>
          <w:szCs w:val="24"/>
        </w:rPr>
      </w:pPr>
      <w:r w:rsidRPr="00AD4E12">
        <w:rPr>
          <w:rFonts w:ascii="Times New Roman" w:hAnsi="Times New Roman" w:cs="Times New Roman"/>
          <w:color w:val="000000"/>
          <w:kern w:val="0"/>
          <w:sz w:val="24"/>
          <w:szCs w:val="24"/>
        </w:rPr>
        <w:t>3</w:t>
      </w:r>
      <w:r w:rsidRPr="00AD4E12">
        <w:rPr>
          <w:rFonts w:ascii="Times New Roman" w:eastAsia="宋体" w:hAnsi="Times New Roman" w:cs="Times New Roman"/>
          <w:color w:val="000000"/>
          <w:kern w:val="0"/>
          <w:sz w:val="24"/>
          <w:szCs w:val="24"/>
        </w:rPr>
        <w:t>、现金流量分析</w:t>
      </w:r>
    </w:p>
    <w:p w:rsidR="004D72E5" w:rsidRDefault="004D50BB" w:rsidP="004D72E5">
      <w:pPr>
        <w:autoSpaceDE w:val="0"/>
        <w:autoSpaceDN w:val="0"/>
        <w:adjustRightInd w:val="0"/>
        <w:spacing w:line="360" w:lineRule="auto"/>
        <w:ind w:firstLineChars="200" w:firstLine="480"/>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公司最近三年及一期的现金流量情况如</w:t>
      </w:r>
      <w:r w:rsidR="00AD4E12" w:rsidRPr="00AD4E12">
        <w:rPr>
          <w:rFonts w:ascii="Times New Roman" w:eastAsia="宋体" w:hAnsi="Times New Roman" w:cs="Times New Roman"/>
          <w:color w:val="000000"/>
          <w:kern w:val="0"/>
          <w:sz w:val="24"/>
          <w:szCs w:val="24"/>
        </w:rPr>
        <w:t>表</w:t>
      </w:r>
      <w:r w:rsidR="004D72E5">
        <w:rPr>
          <w:rFonts w:ascii="Times New Roman" w:eastAsia="宋体" w:hAnsi="Times New Roman" w:cs="Times New Roman"/>
          <w:color w:val="000000"/>
          <w:kern w:val="0"/>
          <w:sz w:val="24"/>
          <w:szCs w:val="24"/>
        </w:rPr>
        <w:t>1</w:t>
      </w:r>
      <w:r w:rsidR="004D72E5">
        <w:rPr>
          <w:rFonts w:ascii="Times New Roman" w:eastAsia="宋体" w:hAnsi="Times New Roman" w:cs="Times New Roman" w:hint="eastAsia"/>
          <w:color w:val="000000"/>
          <w:kern w:val="0"/>
          <w:sz w:val="24"/>
          <w:szCs w:val="24"/>
        </w:rPr>
        <w:t>0</w:t>
      </w:r>
      <w:r w:rsidR="00AD4E12" w:rsidRPr="00AD4E12">
        <w:rPr>
          <w:rFonts w:ascii="Times New Roman" w:eastAsia="宋体" w:hAnsi="Times New Roman" w:cs="Times New Roman"/>
          <w:color w:val="000000"/>
          <w:kern w:val="0"/>
          <w:sz w:val="24"/>
          <w:szCs w:val="24"/>
        </w:rPr>
        <w:t>所示：</w:t>
      </w:r>
    </w:p>
    <w:p w:rsidR="00AD4E12" w:rsidRPr="00AD4E12" w:rsidRDefault="00AD4E12" w:rsidP="00B862E5">
      <w:pPr>
        <w:autoSpaceDE w:val="0"/>
        <w:autoSpaceDN w:val="0"/>
        <w:adjustRightInd w:val="0"/>
        <w:ind w:firstLineChars="200" w:firstLine="482"/>
        <w:jc w:val="center"/>
        <w:rPr>
          <w:rFonts w:ascii="Times New Roman" w:eastAsia="宋体" w:hAnsi="Times New Roman" w:cs="Times New Roman"/>
          <w:b/>
          <w:color w:val="000000"/>
          <w:kern w:val="0"/>
          <w:sz w:val="24"/>
          <w:szCs w:val="24"/>
        </w:rPr>
      </w:pPr>
      <w:r w:rsidRPr="00AD4E12">
        <w:rPr>
          <w:rFonts w:ascii="Times New Roman" w:eastAsia="宋体" w:hAnsi="Times New Roman" w:cs="Times New Roman"/>
          <w:b/>
          <w:color w:val="000000"/>
          <w:kern w:val="0"/>
          <w:sz w:val="24"/>
          <w:szCs w:val="24"/>
        </w:rPr>
        <w:t>表</w:t>
      </w:r>
      <w:r w:rsidR="004D72E5">
        <w:rPr>
          <w:rFonts w:ascii="Times New Roman" w:eastAsia="宋体" w:hAnsi="Times New Roman" w:cs="Times New Roman"/>
          <w:b/>
          <w:bCs/>
          <w:color w:val="000000"/>
          <w:kern w:val="0"/>
          <w:sz w:val="24"/>
          <w:szCs w:val="24"/>
        </w:rPr>
        <w:t>1</w:t>
      </w:r>
      <w:r w:rsidR="004D72E5">
        <w:rPr>
          <w:rFonts w:ascii="Times New Roman" w:eastAsia="宋体" w:hAnsi="Times New Roman" w:cs="Times New Roman" w:hint="eastAsia"/>
          <w:b/>
          <w:bCs/>
          <w:color w:val="000000"/>
          <w:kern w:val="0"/>
          <w:sz w:val="24"/>
          <w:szCs w:val="24"/>
        </w:rPr>
        <w:t>0</w:t>
      </w:r>
      <w:r w:rsidRPr="00AD4E12">
        <w:rPr>
          <w:rFonts w:ascii="Times New Roman" w:eastAsia="宋体" w:hAnsi="Times New Roman" w:cs="Times New Roman"/>
          <w:b/>
          <w:color w:val="000000"/>
          <w:kern w:val="0"/>
          <w:sz w:val="24"/>
          <w:szCs w:val="24"/>
        </w:rPr>
        <w:t>：公司最近三年及一期的现金流量情况</w:t>
      </w:r>
    </w:p>
    <w:p w:rsidR="00AD4E12" w:rsidRPr="004D50BB" w:rsidRDefault="00AD4E12" w:rsidP="00B862E5">
      <w:pPr>
        <w:autoSpaceDE w:val="0"/>
        <w:autoSpaceDN w:val="0"/>
        <w:adjustRightInd w:val="0"/>
        <w:ind w:firstLineChars="200" w:firstLine="422"/>
        <w:jc w:val="right"/>
        <w:rPr>
          <w:rFonts w:ascii="Times New Roman" w:eastAsia="宋体" w:hAnsi="Times New Roman" w:cs="Times New Roman"/>
          <w:b/>
          <w:color w:val="000000"/>
          <w:kern w:val="0"/>
          <w:szCs w:val="21"/>
        </w:rPr>
      </w:pPr>
      <w:r w:rsidRPr="004D50BB">
        <w:rPr>
          <w:rFonts w:ascii="Times New Roman" w:eastAsia="宋体" w:hAnsi="Times New Roman" w:cs="Times New Roman"/>
          <w:b/>
          <w:color w:val="000000"/>
          <w:kern w:val="0"/>
          <w:szCs w:val="21"/>
        </w:rPr>
        <w:t>单位：万元</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000" w:firstRow="0" w:lastRow="0" w:firstColumn="0" w:lastColumn="0" w:noHBand="0" w:noVBand="0"/>
      </w:tblPr>
      <w:tblGrid>
        <w:gridCol w:w="3340"/>
        <w:gridCol w:w="1417"/>
        <w:gridCol w:w="1417"/>
        <w:gridCol w:w="1417"/>
        <w:gridCol w:w="1417"/>
      </w:tblGrid>
      <w:tr w:rsidR="004D72E5" w:rsidRPr="004D72E5" w:rsidTr="00B862E5">
        <w:trPr>
          <w:trHeight w:val="397"/>
          <w:tblHeader/>
        </w:trPr>
        <w:tc>
          <w:tcPr>
            <w:tcW w:w="3340" w:type="dxa"/>
            <w:vAlign w:val="center"/>
          </w:tcPr>
          <w:p w:rsidR="004D72E5" w:rsidRPr="004D72E5" w:rsidRDefault="004D72E5" w:rsidP="004D72E5">
            <w:pPr>
              <w:widowControl/>
              <w:jc w:val="center"/>
              <w:textAlignment w:val="center"/>
              <w:rPr>
                <w:rFonts w:ascii="Times New Roman" w:eastAsia="宋体" w:hAnsi="Times New Roman" w:cs="Times New Roman"/>
                <w:b/>
                <w:color w:val="000000"/>
                <w:szCs w:val="21"/>
              </w:rPr>
            </w:pPr>
            <w:r w:rsidRPr="004D72E5">
              <w:rPr>
                <w:rFonts w:ascii="Times New Roman" w:eastAsia="宋体" w:hAnsi="Times New Roman" w:cs="Times New Roman"/>
                <w:b/>
                <w:color w:val="000000"/>
                <w:kern w:val="0"/>
                <w:szCs w:val="21"/>
              </w:rPr>
              <w:t>项目</w:t>
            </w:r>
          </w:p>
        </w:tc>
        <w:tc>
          <w:tcPr>
            <w:tcW w:w="1417" w:type="dxa"/>
            <w:vAlign w:val="center"/>
          </w:tcPr>
          <w:p w:rsidR="004D72E5" w:rsidRPr="004D72E5" w:rsidRDefault="004D72E5" w:rsidP="004D72E5">
            <w:pPr>
              <w:widowControl/>
              <w:jc w:val="center"/>
              <w:textAlignment w:val="center"/>
              <w:rPr>
                <w:rFonts w:ascii="Times New Roman" w:eastAsia="宋体" w:hAnsi="Times New Roman" w:cs="Times New Roman"/>
                <w:b/>
                <w:color w:val="000000"/>
                <w:szCs w:val="21"/>
              </w:rPr>
            </w:pPr>
            <w:r w:rsidRPr="004D72E5">
              <w:rPr>
                <w:rFonts w:ascii="Times New Roman" w:eastAsia="宋体" w:hAnsi="Times New Roman" w:cs="Times New Roman"/>
                <w:b/>
                <w:color w:val="000000"/>
                <w:kern w:val="0"/>
                <w:szCs w:val="21"/>
              </w:rPr>
              <w:t>2015</w:t>
            </w:r>
            <w:r w:rsidRPr="004D72E5">
              <w:rPr>
                <w:rFonts w:ascii="Times New Roman" w:eastAsia="宋体" w:hAnsi="Times New Roman" w:cs="Times New Roman"/>
                <w:b/>
                <w:color w:val="000000"/>
                <w:kern w:val="0"/>
                <w:szCs w:val="21"/>
              </w:rPr>
              <w:t>年</w:t>
            </w:r>
            <w:r w:rsidRPr="004D72E5">
              <w:rPr>
                <w:rFonts w:ascii="Times New Roman" w:eastAsia="宋体" w:hAnsi="Times New Roman" w:cs="Times New Roman" w:hint="eastAsia"/>
                <w:b/>
                <w:color w:val="000000"/>
                <w:kern w:val="0"/>
                <w:szCs w:val="21"/>
              </w:rPr>
              <w:t>1-3</w:t>
            </w:r>
            <w:r w:rsidRPr="004D72E5">
              <w:rPr>
                <w:rFonts w:ascii="Times New Roman" w:eastAsia="宋体" w:hAnsi="Times New Roman" w:cs="Times New Roman"/>
                <w:b/>
                <w:color w:val="000000"/>
                <w:kern w:val="0"/>
                <w:szCs w:val="21"/>
              </w:rPr>
              <w:t>月</w:t>
            </w:r>
          </w:p>
        </w:tc>
        <w:tc>
          <w:tcPr>
            <w:tcW w:w="1417" w:type="dxa"/>
            <w:vAlign w:val="center"/>
          </w:tcPr>
          <w:p w:rsidR="004D72E5" w:rsidRPr="004D72E5" w:rsidRDefault="004D72E5" w:rsidP="004D72E5">
            <w:pPr>
              <w:widowControl/>
              <w:jc w:val="center"/>
              <w:textAlignment w:val="center"/>
              <w:rPr>
                <w:rFonts w:ascii="Times New Roman" w:eastAsia="宋体" w:hAnsi="Times New Roman" w:cs="Times New Roman"/>
                <w:b/>
                <w:color w:val="000000"/>
                <w:szCs w:val="21"/>
              </w:rPr>
            </w:pPr>
            <w:r w:rsidRPr="004D72E5">
              <w:rPr>
                <w:rFonts w:ascii="Times New Roman" w:eastAsia="宋体" w:hAnsi="Times New Roman" w:cs="Times New Roman"/>
                <w:b/>
                <w:color w:val="000000"/>
                <w:kern w:val="0"/>
                <w:szCs w:val="21"/>
              </w:rPr>
              <w:t>2014</w:t>
            </w:r>
            <w:r w:rsidRPr="004D72E5">
              <w:rPr>
                <w:rFonts w:ascii="Times New Roman" w:eastAsia="宋体" w:hAnsi="Times New Roman" w:cs="Times New Roman"/>
                <w:b/>
                <w:color w:val="000000"/>
                <w:kern w:val="0"/>
                <w:szCs w:val="21"/>
              </w:rPr>
              <w:t>年度</w:t>
            </w:r>
          </w:p>
        </w:tc>
        <w:tc>
          <w:tcPr>
            <w:tcW w:w="1417" w:type="dxa"/>
            <w:vAlign w:val="center"/>
          </w:tcPr>
          <w:p w:rsidR="004D72E5" w:rsidRPr="004D72E5" w:rsidRDefault="004D72E5" w:rsidP="004D72E5">
            <w:pPr>
              <w:widowControl/>
              <w:jc w:val="center"/>
              <w:textAlignment w:val="center"/>
              <w:rPr>
                <w:rFonts w:ascii="Times New Roman" w:eastAsia="宋体" w:hAnsi="Times New Roman" w:cs="Times New Roman"/>
                <w:b/>
                <w:color w:val="000000"/>
                <w:szCs w:val="21"/>
              </w:rPr>
            </w:pPr>
            <w:r w:rsidRPr="004D72E5">
              <w:rPr>
                <w:rFonts w:ascii="Times New Roman" w:eastAsia="宋体" w:hAnsi="Times New Roman" w:cs="Times New Roman"/>
                <w:b/>
                <w:color w:val="000000"/>
                <w:kern w:val="0"/>
                <w:szCs w:val="21"/>
              </w:rPr>
              <w:t>2013</w:t>
            </w:r>
            <w:r w:rsidRPr="004D72E5">
              <w:rPr>
                <w:rFonts w:ascii="Times New Roman" w:eastAsia="宋体" w:hAnsi="Times New Roman" w:cs="Times New Roman"/>
                <w:b/>
                <w:color w:val="000000"/>
                <w:kern w:val="0"/>
                <w:szCs w:val="21"/>
              </w:rPr>
              <w:t>年度</w:t>
            </w:r>
          </w:p>
        </w:tc>
        <w:tc>
          <w:tcPr>
            <w:tcW w:w="1417" w:type="dxa"/>
            <w:vAlign w:val="center"/>
          </w:tcPr>
          <w:p w:rsidR="004D72E5" w:rsidRPr="004D72E5" w:rsidRDefault="004D72E5" w:rsidP="004D72E5">
            <w:pPr>
              <w:widowControl/>
              <w:jc w:val="center"/>
              <w:textAlignment w:val="center"/>
              <w:rPr>
                <w:rFonts w:ascii="Times New Roman" w:eastAsia="宋体" w:hAnsi="Times New Roman" w:cs="Times New Roman"/>
                <w:b/>
                <w:color w:val="000000"/>
                <w:kern w:val="0"/>
                <w:szCs w:val="21"/>
              </w:rPr>
            </w:pPr>
            <w:r w:rsidRPr="004D72E5">
              <w:rPr>
                <w:rFonts w:ascii="Times New Roman" w:eastAsia="宋体" w:hAnsi="Times New Roman" w:cs="Times New Roman"/>
                <w:b/>
                <w:color w:val="000000"/>
                <w:kern w:val="0"/>
                <w:szCs w:val="21"/>
              </w:rPr>
              <w:t>2012</w:t>
            </w:r>
            <w:r w:rsidRPr="004D72E5">
              <w:rPr>
                <w:rFonts w:ascii="Times New Roman" w:eastAsia="宋体" w:hAnsi="Times New Roman" w:cs="Times New Roman"/>
                <w:b/>
                <w:color w:val="000000"/>
                <w:kern w:val="0"/>
                <w:szCs w:val="21"/>
              </w:rPr>
              <w:t>年度</w:t>
            </w:r>
          </w:p>
        </w:tc>
      </w:tr>
      <w:tr w:rsidR="004D72E5" w:rsidRPr="004D72E5" w:rsidTr="00B862E5">
        <w:trPr>
          <w:trHeight w:val="397"/>
        </w:trPr>
        <w:tc>
          <w:tcPr>
            <w:tcW w:w="3340" w:type="dxa"/>
            <w:vAlign w:val="center"/>
          </w:tcPr>
          <w:p w:rsidR="004D72E5" w:rsidRPr="004D72E5" w:rsidRDefault="004D72E5" w:rsidP="004D72E5">
            <w:pPr>
              <w:widowControl/>
              <w:jc w:val="left"/>
              <w:textAlignment w:val="bottom"/>
              <w:rPr>
                <w:rFonts w:ascii="Times New Roman" w:eastAsia="宋体" w:hAnsi="Times New Roman" w:cs="Times New Roman"/>
                <w:color w:val="000000"/>
                <w:szCs w:val="21"/>
              </w:rPr>
            </w:pPr>
            <w:r w:rsidRPr="004D72E5">
              <w:rPr>
                <w:rFonts w:ascii="Times New Roman" w:eastAsia="宋体" w:hAnsi="Times New Roman" w:cs="Times New Roman"/>
                <w:color w:val="000000"/>
                <w:kern w:val="0"/>
                <w:szCs w:val="21"/>
              </w:rPr>
              <w:t>经营活动产生的现金流量净额</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-424,789.24</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-32,117.97</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-290,595.26</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-192,590.38</w:t>
            </w:r>
          </w:p>
        </w:tc>
      </w:tr>
      <w:tr w:rsidR="004D72E5" w:rsidRPr="004D72E5" w:rsidTr="00B862E5">
        <w:trPr>
          <w:trHeight w:val="397"/>
        </w:trPr>
        <w:tc>
          <w:tcPr>
            <w:tcW w:w="3340" w:type="dxa"/>
            <w:vAlign w:val="center"/>
          </w:tcPr>
          <w:p w:rsidR="004D72E5" w:rsidRPr="004D72E5" w:rsidRDefault="004D72E5" w:rsidP="004D72E5">
            <w:pPr>
              <w:widowControl/>
              <w:jc w:val="left"/>
              <w:textAlignment w:val="bottom"/>
              <w:rPr>
                <w:rFonts w:ascii="Times New Roman" w:eastAsia="宋体" w:hAnsi="Times New Roman" w:cs="Times New Roman"/>
                <w:color w:val="000000"/>
                <w:szCs w:val="21"/>
              </w:rPr>
            </w:pPr>
            <w:r w:rsidRPr="004D72E5">
              <w:rPr>
                <w:rFonts w:ascii="Times New Roman" w:eastAsia="宋体" w:hAnsi="Times New Roman" w:cs="Times New Roman"/>
                <w:color w:val="000000"/>
                <w:kern w:val="0"/>
                <w:szCs w:val="21"/>
              </w:rPr>
              <w:t>投资活动产生的现金流量净额</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-74,202.78</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-583,117.80</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79,963.43</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12,825.86</w:t>
            </w:r>
          </w:p>
        </w:tc>
      </w:tr>
      <w:tr w:rsidR="004D72E5" w:rsidRPr="004D72E5" w:rsidTr="00B862E5">
        <w:trPr>
          <w:trHeight w:val="397"/>
        </w:trPr>
        <w:tc>
          <w:tcPr>
            <w:tcW w:w="3340" w:type="dxa"/>
            <w:vAlign w:val="center"/>
          </w:tcPr>
          <w:p w:rsidR="004D72E5" w:rsidRPr="004D72E5" w:rsidRDefault="004D72E5" w:rsidP="004D72E5">
            <w:pPr>
              <w:widowControl/>
              <w:jc w:val="left"/>
              <w:textAlignment w:val="bottom"/>
              <w:rPr>
                <w:rFonts w:ascii="Times New Roman" w:eastAsia="宋体" w:hAnsi="Times New Roman" w:cs="Times New Roman"/>
                <w:color w:val="000000"/>
                <w:szCs w:val="21"/>
              </w:rPr>
            </w:pPr>
            <w:r w:rsidRPr="004D72E5">
              <w:rPr>
                <w:rFonts w:ascii="Times New Roman" w:eastAsia="宋体" w:hAnsi="Times New Roman" w:cs="Times New Roman"/>
                <w:color w:val="000000"/>
                <w:kern w:val="0"/>
                <w:szCs w:val="21"/>
              </w:rPr>
              <w:t>筹资活动产生的现金流量净额</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180,064.65</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444,028.29</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49,982.20</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394,378.95</w:t>
            </w:r>
          </w:p>
        </w:tc>
      </w:tr>
      <w:tr w:rsidR="004D72E5" w:rsidRPr="004D72E5" w:rsidTr="00B862E5">
        <w:trPr>
          <w:trHeight w:val="397"/>
        </w:trPr>
        <w:tc>
          <w:tcPr>
            <w:tcW w:w="3340" w:type="dxa"/>
            <w:vAlign w:val="center"/>
          </w:tcPr>
          <w:p w:rsidR="004D72E5" w:rsidRPr="004D72E5" w:rsidRDefault="004D72E5" w:rsidP="004D72E5">
            <w:pPr>
              <w:widowControl/>
              <w:jc w:val="left"/>
              <w:textAlignment w:val="bottom"/>
              <w:rPr>
                <w:rFonts w:ascii="Times New Roman" w:eastAsia="宋体" w:hAnsi="Times New Roman" w:cs="Times New Roman"/>
                <w:color w:val="000000"/>
                <w:szCs w:val="21"/>
              </w:rPr>
            </w:pPr>
            <w:r w:rsidRPr="004D72E5">
              <w:rPr>
                <w:rFonts w:ascii="Times New Roman" w:eastAsia="宋体" w:hAnsi="Times New Roman" w:cs="Times New Roman"/>
                <w:color w:val="000000"/>
                <w:kern w:val="0"/>
                <w:szCs w:val="21"/>
              </w:rPr>
              <w:t>现金及现金等价物净增加额</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-318,926.68</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-171,213.48</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-160,646.42</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214,613.76</w:t>
            </w:r>
          </w:p>
        </w:tc>
      </w:tr>
      <w:tr w:rsidR="004D72E5" w:rsidRPr="004D72E5" w:rsidTr="00B862E5">
        <w:trPr>
          <w:trHeight w:val="397"/>
        </w:trPr>
        <w:tc>
          <w:tcPr>
            <w:tcW w:w="3340" w:type="dxa"/>
            <w:vAlign w:val="center"/>
          </w:tcPr>
          <w:p w:rsidR="004D72E5" w:rsidRPr="004D72E5" w:rsidRDefault="004D72E5" w:rsidP="004D72E5">
            <w:pPr>
              <w:widowControl/>
              <w:jc w:val="left"/>
              <w:textAlignment w:val="bottom"/>
              <w:rPr>
                <w:rFonts w:ascii="Times New Roman" w:eastAsia="宋体" w:hAnsi="Times New Roman" w:cs="Times New Roman"/>
                <w:color w:val="000000"/>
                <w:szCs w:val="21"/>
              </w:rPr>
            </w:pPr>
            <w:r w:rsidRPr="004D72E5">
              <w:rPr>
                <w:rFonts w:ascii="Times New Roman" w:eastAsia="宋体" w:hAnsi="Times New Roman" w:cs="Times New Roman"/>
                <w:color w:val="000000"/>
                <w:kern w:val="0"/>
                <w:szCs w:val="21"/>
              </w:rPr>
              <w:t>期末现金及现金等价物余额</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487,265.28</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806,191.96</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977,405.44</w:t>
            </w:r>
          </w:p>
        </w:tc>
        <w:tc>
          <w:tcPr>
            <w:tcW w:w="1417" w:type="dxa"/>
            <w:vAlign w:val="center"/>
          </w:tcPr>
          <w:p w:rsidR="004D72E5" w:rsidRPr="004D72E5" w:rsidRDefault="004D72E5" w:rsidP="004D72E5">
            <w:pPr>
              <w:widowControl/>
              <w:jc w:val="right"/>
              <w:textAlignment w:val="bottom"/>
              <w:rPr>
                <w:rFonts w:ascii="Times New Roman" w:eastAsia="宋体" w:hAnsi="Times New Roman" w:cs="Times New Roman"/>
                <w:color w:val="000000"/>
                <w:kern w:val="0"/>
                <w:szCs w:val="21"/>
              </w:rPr>
            </w:pPr>
            <w:r w:rsidRPr="004D72E5">
              <w:rPr>
                <w:rFonts w:ascii="Times New Roman" w:eastAsia="宋体" w:hAnsi="Times New Roman" w:cs="Times New Roman" w:hint="eastAsia"/>
                <w:color w:val="000000"/>
                <w:kern w:val="0"/>
                <w:szCs w:val="21"/>
              </w:rPr>
              <w:t>1,138,051.86</w:t>
            </w:r>
          </w:p>
        </w:tc>
      </w:tr>
    </w:tbl>
    <w:p w:rsidR="004D72E5" w:rsidRDefault="004D72E5" w:rsidP="004D72E5">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4D72E5">
        <w:rPr>
          <w:rFonts w:ascii="Times New Roman" w:hAnsi="Times New Roman" w:cs="Times New Roman" w:hint="eastAsia"/>
          <w:kern w:val="0"/>
          <w:sz w:val="24"/>
          <w:szCs w:val="24"/>
        </w:rPr>
        <w:t>2012</w:t>
      </w:r>
      <w:r w:rsidRPr="004D72E5">
        <w:rPr>
          <w:rFonts w:ascii="Times New Roman" w:hAnsi="Times New Roman" w:cs="Times New Roman" w:hint="eastAsia"/>
          <w:kern w:val="0"/>
          <w:sz w:val="24"/>
          <w:szCs w:val="24"/>
        </w:rPr>
        <w:t>年度、</w:t>
      </w:r>
      <w:r w:rsidRPr="004D72E5">
        <w:rPr>
          <w:rFonts w:ascii="Times New Roman" w:hAnsi="Times New Roman" w:cs="Times New Roman" w:hint="eastAsia"/>
          <w:kern w:val="0"/>
          <w:sz w:val="24"/>
          <w:szCs w:val="24"/>
        </w:rPr>
        <w:t>2013</w:t>
      </w:r>
      <w:r w:rsidRPr="004D72E5">
        <w:rPr>
          <w:rFonts w:ascii="Times New Roman" w:hAnsi="Times New Roman" w:cs="Times New Roman" w:hint="eastAsia"/>
          <w:kern w:val="0"/>
          <w:sz w:val="24"/>
          <w:szCs w:val="24"/>
        </w:rPr>
        <w:t>年度、</w:t>
      </w:r>
      <w:r w:rsidRPr="004D72E5">
        <w:rPr>
          <w:rFonts w:ascii="Times New Roman" w:hAnsi="Times New Roman" w:cs="Times New Roman" w:hint="eastAsia"/>
          <w:kern w:val="0"/>
          <w:sz w:val="24"/>
          <w:szCs w:val="24"/>
        </w:rPr>
        <w:t>2014</w:t>
      </w:r>
      <w:r w:rsidRPr="004D72E5">
        <w:rPr>
          <w:rFonts w:ascii="Times New Roman" w:hAnsi="Times New Roman" w:cs="Times New Roman" w:hint="eastAsia"/>
          <w:kern w:val="0"/>
          <w:sz w:val="24"/>
          <w:szCs w:val="24"/>
        </w:rPr>
        <w:t>年度及</w:t>
      </w:r>
      <w:r w:rsidRPr="004D72E5">
        <w:rPr>
          <w:rFonts w:ascii="Times New Roman" w:hAnsi="Times New Roman" w:cs="Times New Roman" w:hint="eastAsia"/>
          <w:kern w:val="0"/>
          <w:sz w:val="24"/>
          <w:szCs w:val="24"/>
        </w:rPr>
        <w:t>2015</w:t>
      </w:r>
      <w:r w:rsidRPr="004D72E5">
        <w:rPr>
          <w:rFonts w:ascii="Times New Roman" w:hAnsi="Times New Roman" w:cs="Times New Roman" w:hint="eastAsia"/>
          <w:kern w:val="0"/>
          <w:sz w:val="24"/>
          <w:szCs w:val="24"/>
        </w:rPr>
        <w:t>年</w:t>
      </w:r>
      <w:r w:rsidRPr="004D72E5">
        <w:rPr>
          <w:rFonts w:ascii="Times New Roman" w:hAnsi="Times New Roman" w:cs="Times New Roman" w:hint="eastAsia"/>
          <w:kern w:val="0"/>
          <w:sz w:val="24"/>
          <w:szCs w:val="24"/>
        </w:rPr>
        <w:t>1-3</w:t>
      </w:r>
      <w:r w:rsidRPr="004D72E5">
        <w:rPr>
          <w:rFonts w:ascii="Times New Roman" w:hAnsi="Times New Roman" w:cs="Times New Roman" w:hint="eastAsia"/>
          <w:kern w:val="0"/>
          <w:sz w:val="24"/>
          <w:szCs w:val="24"/>
        </w:rPr>
        <w:t>月，公司经营活动产生的现金流量净额分别为</w:t>
      </w:r>
      <w:r w:rsidRPr="004D72E5">
        <w:rPr>
          <w:rFonts w:ascii="Times New Roman" w:hAnsi="Times New Roman" w:cs="Times New Roman" w:hint="eastAsia"/>
          <w:kern w:val="0"/>
          <w:sz w:val="24"/>
          <w:szCs w:val="24"/>
        </w:rPr>
        <w:t>-192,590.38</w:t>
      </w:r>
      <w:r w:rsidRPr="004D72E5">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-290,595.26</w:t>
      </w:r>
      <w:r w:rsidRPr="004D72E5">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-32,117.97</w:t>
      </w:r>
      <w:r w:rsidRPr="004D72E5">
        <w:rPr>
          <w:rFonts w:ascii="Times New Roman" w:hAnsi="Times New Roman" w:cs="Times New Roman" w:hint="eastAsia"/>
          <w:kern w:val="0"/>
          <w:sz w:val="24"/>
          <w:szCs w:val="24"/>
        </w:rPr>
        <w:t>万元和</w:t>
      </w:r>
      <w:r w:rsidRPr="004D72E5">
        <w:rPr>
          <w:rFonts w:ascii="Times New Roman" w:hAnsi="Times New Roman" w:cs="Times New Roman" w:hint="eastAsia"/>
          <w:kern w:val="0"/>
          <w:sz w:val="24"/>
          <w:szCs w:val="24"/>
        </w:rPr>
        <w:t>-424,789.24</w:t>
      </w:r>
      <w:r w:rsidR="00100008">
        <w:rPr>
          <w:rFonts w:ascii="Times New Roman" w:hAnsi="Times New Roman" w:cs="Times New Roman" w:hint="eastAsia"/>
          <w:kern w:val="0"/>
          <w:sz w:val="24"/>
          <w:szCs w:val="24"/>
        </w:rPr>
        <w:t>万元。公司</w:t>
      </w:r>
      <w:r w:rsidRPr="004D72E5">
        <w:rPr>
          <w:rFonts w:ascii="Times New Roman" w:hAnsi="Times New Roman" w:cs="Times New Roman" w:hint="eastAsia"/>
          <w:kern w:val="0"/>
          <w:sz w:val="24"/>
          <w:szCs w:val="24"/>
        </w:rPr>
        <w:t>经营活动现金净流量净额为负主要是因为开发项目不断增加，但开发产品需要一定周期，项目开发投入与项目销售不同步所致</w:t>
      </w:r>
      <w:r>
        <w:rPr>
          <w:rFonts w:ascii="Times New Roman" w:hAnsi="Times New Roman" w:cs="Times New Roman" w:hint="eastAsia"/>
          <w:kern w:val="0"/>
          <w:sz w:val="24"/>
          <w:szCs w:val="24"/>
        </w:rPr>
        <w:t>。</w:t>
      </w:r>
    </w:p>
    <w:p w:rsidR="004D72E5" w:rsidRDefault="004D72E5" w:rsidP="00100008">
      <w:pPr>
        <w:autoSpaceDE w:val="0"/>
        <w:autoSpaceDN w:val="0"/>
        <w:adjustRightInd w:val="0"/>
        <w:spacing w:line="360" w:lineRule="auto"/>
        <w:ind w:firstLineChars="200" w:firstLine="480"/>
        <w:rPr>
          <w:rFonts w:ascii="Times New Roman" w:hAnsi="Times New Roman" w:cs="Times New Roman"/>
          <w:kern w:val="0"/>
          <w:sz w:val="24"/>
          <w:szCs w:val="24"/>
        </w:rPr>
      </w:pPr>
      <w:r w:rsidRPr="004D72E5">
        <w:rPr>
          <w:rFonts w:ascii="Times New Roman" w:hAnsi="Times New Roman" w:cs="Times New Roman" w:hint="eastAsia"/>
          <w:kern w:val="0"/>
          <w:sz w:val="24"/>
          <w:szCs w:val="24"/>
        </w:rPr>
        <w:t>公司投资活动产生的现金流量净额分别为</w:t>
      </w:r>
      <w:r w:rsidRPr="004D72E5">
        <w:rPr>
          <w:rFonts w:ascii="Times New Roman" w:hAnsi="Times New Roman" w:cs="Times New Roman" w:hint="eastAsia"/>
          <w:kern w:val="0"/>
          <w:sz w:val="24"/>
          <w:szCs w:val="24"/>
        </w:rPr>
        <w:t>12,825.86</w:t>
      </w:r>
      <w:r w:rsidRPr="004D72E5">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79,963.43</w:t>
      </w:r>
      <w:r w:rsidRPr="004D72E5">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-583,117.80</w:t>
      </w:r>
      <w:r w:rsidRPr="004D72E5">
        <w:rPr>
          <w:rFonts w:ascii="Times New Roman" w:hAnsi="Times New Roman" w:cs="Times New Roman" w:hint="eastAsia"/>
          <w:kern w:val="0"/>
          <w:sz w:val="24"/>
          <w:szCs w:val="24"/>
        </w:rPr>
        <w:t>万元和</w:t>
      </w:r>
      <w:r w:rsidRPr="004D72E5">
        <w:rPr>
          <w:rFonts w:ascii="Times New Roman" w:hAnsi="Times New Roman" w:cs="Times New Roman" w:hint="eastAsia"/>
          <w:kern w:val="0"/>
          <w:sz w:val="24"/>
          <w:szCs w:val="24"/>
        </w:rPr>
        <w:t>-74,202.78</w:t>
      </w:r>
      <w:r w:rsidR="00100008">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2014</w:t>
      </w:r>
      <w:r w:rsidRPr="004D72E5">
        <w:rPr>
          <w:rFonts w:ascii="Times New Roman" w:hAnsi="Times New Roman" w:cs="Times New Roman" w:hint="eastAsia"/>
          <w:kern w:val="0"/>
          <w:sz w:val="24"/>
          <w:szCs w:val="24"/>
        </w:rPr>
        <w:t>年度投资活动产生的现金流量净额较</w:t>
      </w:r>
      <w:r w:rsidRPr="004D72E5">
        <w:rPr>
          <w:rFonts w:ascii="Times New Roman" w:hAnsi="Times New Roman" w:cs="Times New Roman" w:hint="eastAsia"/>
          <w:kern w:val="0"/>
          <w:sz w:val="24"/>
          <w:szCs w:val="24"/>
        </w:rPr>
        <w:t>2013</w:t>
      </w:r>
      <w:r w:rsidRPr="004D72E5">
        <w:rPr>
          <w:rFonts w:ascii="Times New Roman" w:hAnsi="Times New Roman" w:cs="Times New Roman" w:hint="eastAsia"/>
          <w:kern w:val="0"/>
          <w:sz w:val="24"/>
          <w:szCs w:val="24"/>
        </w:rPr>
        <w:t>年度减少</w:t>
      </w:r>
      <w:r w:rsidRPr="004D72E5">
        <w:rPr>
          <w:rFonts w:ascii="Times New Roman" w:hAnsi="Times New Roman" w:cs="Times New Roman" w:hint="eastAsia"/>
          <w:kern w:val="0"/>
          <w:sz w:val="24"/>
          <w:szCs w:val="24"/>
        </w:rPr>
        <w:t>663,081.23</w:t>
      </w:r>
      <w:r w:rsidRPr="004D72E5">
        <w:rPr>
          <w:rFonts w:ascii="Times New Roman" w:hAnsi="Times New Roman" w:cs="Times New Roman" w:hint="eastAsia"/>
          <w:kern w:val="0"/>
          <w:sz w:val="24"/>
          <w:szCs w:val="24"/>
        </w:rPr>
        <w:t>万元，主要因为公司在</w:t>
      </w:r>
      <w:r w:rsidRPr="004D72E5">
        <w:rPr>
          <w:rFonts w:ascii="Times New Roman" w:hAnsi="Times New Roman" w:cs="Times New Roman" w:hint="eastAsia"/>
          <w:kern w:val="0"/>
          <w:sz w:val="24"/>
          <w:szCs w:val="24"/>
        </w:rPr>
        <w:t>2014</w:t>
      </w:r>
      <w:r w:rsidRPr="004D72E5">
        <w:rPr>
          <w:rFonts w:ascii="Times New Roman" w:hAnsi="Times New Roman" w:cs="Times New Roman" w:hint="eastAsia"/>
          <w:kern w:val="0"/>
          <w:sz w:val="24"/>
          <w:szCs w:val="24"/>
        </w:rPr>
        <w:t>年度新设成立及收购了</w:t>
      </w:r>
      <w:r w:rsidRPr="004D72E5">
        <w:rPr>
          <w:rFonts w:ascii="Times New Roman" w:hAnsi="Times New Roman" w:cs="Times New Roman" w:hint="eastAsia"/>
          <w:kern w:val="0"/>
          <w:sz w:val="24"/>
          <w:szCs w:val="24"/>
        </w:rPr>
        <w:t>18</w:t>
      </w:r>
      <w:r w:rsidRPr="004D72E5">
        <w:rPr>
          <w:rFonts w:ascii="Times New Roman" w:hAnsi="Times New Roman" w:cs="Times New Roman" w:hint="eastAsia"/>
          <w:kern w:val="0"/>
          <w:sz w:val="24"/>
          <w:szCs w:val="24"/>
        </w:rPr>
        <w:t>家</w:t>
      </w:r>
      <w:r w:rsidRPr="004D72E5">
        <w:rPr>
          <w:rFonts w:ascii="Times New Roman" w:hAnsi="Times New Roman" w:cs="Times New Roman" w:hint="eastAsia"/>
          <w:kern w:val="0"/>
          <w:sz w:val="24"/>
          <w:szCs w:val="24"/>
        </w:rPr>
        <w:lastRenderedPageBreak/>
        <w:t>子公司所致。</w:t>
      </w:r>
    </w:p>
    <w:p w:rsidR="004D72E5" w:rsidRPr="004D72E5" w:rsidRDefault="004D72E5" w:rsidP="004D72E5">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4D72E5">
        <w:rPr>
          <w:rFonts w:ascii="Times New Roman" w:hAnsi="Times New Roman" w:cs="Times New Roman" w:hint="eastAsia"/>
          <w:kern w:val="0"/>
          <w:sz w:val="24"/>
          <w:szCs w:val="24"/>
        </w:rPr>
        <w:t>公司筹资活动产生的现金流量净额分别为</w:t>
      </w:r>
      <w:r w:rsidRPr="004D72E5">
        <w:rPr>
          <w:rFonts w:ascii="Times New Roman" w:hAnsi="Times New Roman" w:cs="Times New Roman" w:hint="eastAsia"/>
          <w:kern w:val="0"/>
          <w:sz w:val="24"/>
          <w:szCs w:val="24"/>
        </w:rPr>
        <w:t>394,378.95</w:t>
      </w:r>
      <w:r w:rsidRPr="004D72E5">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49,982.20</w:t>
      </w:r>
      <w:r w:rsidRPr="004D72E5">
        <w:rPr>
          <w:rFonts w:ascii="Times New Roman" w:hAnsi="Times New Roman" w:cs="Times New Roman" w:hint="eastAsia"/>
          <w:kern w:val="0"/>
          <w:sz w:val="24"/>
          <w:szCs w:val="24"/>
        </w:rPr>
        <w:t>万元、</w:t>
      </w:r>
      <w:r w:rsidRPr="004D72E5">
        <w:rPr>
          <w:rFonts w:ascii="Times New Roman" w:hAnsi="Times New Roman" w:cs="Times New Roman" w:hint="eastAsia"/>
          <w:kern w:val="0"/>
          <w:sz w:val="24"/>
          <w:szCs w:val="24"/>
        </w:rPr>
        <w:t>444,028.29</w:t>
      </w:r>
      <w:r w:rsidRPr="004D72E5">
        <w:rPr>
          <w:rFonts w:ascii="Times New Roman" w:hAnsi="Times New Roman" w:cs="Times New Roman" w:hint="eastAsia"/>
          <w:kern w:val="0"/>
          <w:sz w:val="24"/>
          <w:szCs w:val="24"/>
        </w:rPr>
        <w:t>万元和</w:t>
      </w:r>
      <w:r w:rsidRPr="004D72E5">
        <w:rPr>
          <w:rFonts w:ascii="Times New Roman" w:hAnsi="Times New Roman" w:cs="Times New Roman" w:hint="eastAsia"/>
          <w:kern w:val="0"/>
          <w:sz w:val="24"/>
          <w:szCs w:val="24"/>
        </w:rPr>
        <w:t>180,064.65</w:t>
      </w:r>
      <w:r w:rsidRPr="004D72E5">
        <w:rPr>
          <w:rFonts w:ascii="Times New Roman" w:hAnsi="Times New Roman" w:cs="Times New Roman" w:hint="eastAsia"/>
          <w:kern w:val="0"/>
          <w:sz w:val="24"/>
          <w:szCs w:val="24"/>
        </w:rPr>
        <w:t>万元，</w:t>
      </w:r>
      <w:r w:rsidR="005C283A">
        <w:rPr>
          <w:rFonts w:ascii="Times New Roman" w:hAnsi="Times New Roman" w:cs="Times New Roman" w:hint="eastAsia"/>
          <w:kern w:val="0"/>
          <w:sz w:val="24"/>
          <w:szCs w:val="24"/>
        </w:rPr>
        <w:t>2014</w:t>
      </w:r>
      <w:r w:rsidR="00100008">
        <w:rPr>
          <w:rFonts w:ascii="Times New Roman" w:hAnsi="Times New Roman" w:cs="Times New Roman" w:hint="eastAsia"/>
          <w:kern w:val="0"/>
          <w:sz w:val="24"/>
          <w:szCs w:val="24"/>
        </w:rPr>
        <w:t>年度公司</w:t>
      </w:r>
      <w:r w:rsidRPr="004D72E5">
        <w:rPr>
          <w:rFonts w:ascii="Times New Roman" w:hAnsi="Times New Roman" w:cs="Times New Roman" w:hint="eastAsia"/>
          <w:kern w:val="0"/>
          <w:sz w:val="24"/>
          <w:szCs w:val="24"/>
        </w:rPr>
        <w:t>筹资活动产生的现金流量净额比上年同期增加</w:t>
      </w:r>
      <w:r w:rsidRPr="004D72E5">
        <w:rPr>
          <w:rFonts w:ascii="Times New Roman" w:hAnsi="Times New Roman" w:cs="Times New Roman" w:hint="eastAsia"/>
          <w:kern w:val="0"/>
          <w:sz w:val="24"/>
          <w:szCs w:val="24"/>
        </w:rPr>
        <w:t>394,046.09</w:t>
      </w:r>
      <w:r w:rsidR="00100008">
        <w:rPr>
          <w:rFonts w:ascii="Times New Roman" w:hAnsi="Times New Roman" w:cs="Times New Roman" w:hint="eastAsia"/>
          <w:kern w:val="0"/>
          <w:sz w:val="24"/>
          <w:szCs w:val="24"/>
        </w:rPr>
        <w:t>万元，主要原因是公司</w:t>
      </w:r>
      <w:r w:rsidRPr="004D72E5">
        <w:rPr>
          <w:rFonts w:ascii="Times New Roman" w:hAnsi="Times New Roman" w:cs="Times New Roman" w:hint="eastAsia"/>
          <w:kern w:val="0"/>
          <w:sz w:val="24"/>
          <w:szCs w:val="24"/>
        </w:rPr>
        <w:t>加大土地储备力度，新增借款增加较多。</w:t>
      </w:r>
    </w:p>
    <w:p w:rsidR="002B2017" w:rsidRDefault="00100008">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100008">
        <w:rPr>
          <w:rFonts w:ascii="Times New Roman" w:hAnsi="Times New Roman" w:cs="Times New Roman" w:hint="eastAsia"/>
          <w:kern w:val="0"/>
          <w:sz w:val="24"/>
          <w:szCs w:val="24"/>
        </w:rPr>
        <w:t>4</w:t>
      </w:r>
      <w:r w:rsidRPr="00100008">
        <w:rPr>
          <w:rFonts w:ascii="Times New Roman" w:hAnsi="Times New Roman" w:cs="Times New Roman" w:hint="eastAsia"/>
          <w:kern w:val="0"/>
          <w:sz w:val="24"/>
          <w:szCs w:val="24"/>
        </w:rPr>
        <w:t>、偿债能力分析</w:t>
      </w:r>
    </w:p>
    <w:p w:rsidR="00100008" w:rsidRDefault="00A856DA" w:rsidP="00100008">
      <w:pPr>
        <w:autoSpaceDE w:val="0"/>
        <w:autoSpaceDN w:val="0"/>
        <w:adjustRightIn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公司最近三年及</w:t>
      </w:r>
      <w:proofErr w:type="gramStart"/>
      <w:r>
        <w:rPr>
          <w:rFonts w:ascii="Times New Roman" w:hAnsi="Times New Roman" w:cs="Times New Roman" w:hint="eastAsia"/>
          <w:kern w:val="0"/>
          <w:sz w:val="24"/>
          <w:szCs w:val="24"/>
        </w:rPr>
        <w:t>一</w:t>
      </w:r>
      <w:proofErr w:type="gramEnd"/>
      <w:r>
        <w:rPr>
          <w:rFonts w:ascii="Times New Roman" w:hAnsi="Times New Roman" w:cs="Times New Roman" w:hint="eastAsia"/>
          <w:kern w:val="0"/>
          <w:sz w:val="24"/>
          <w:szCs w:val="24"/>
        </w:rPr>
        <w:t>期末主要偿债能力指标如</w:t>
      </w:r>
      <w:r w:rsidR="00100008" w:rsidRPr="00100008">
        <w:rPr>
          <w:rFonts w:ascii="Times New Roman" w:hAnsi="Times New Roman" w:cs="Times New Roman" w:hint="eastAsia"/>
          <w:kern w:val="0"/>
          <w:sz w:val="24"/>
          <w:szCs w:val="24"/>
        </w:rPr>
        <w:t>表</w:t>
      </w:r>
      <w:r w:rsidR="00100008">
        <w:rPr>
          <w:rFonts w:ascii="Times New Roman" w:hAnsi="Times New Roman" w:cs="Times New Roman" w:hint="eastAsia"/>
          <w:kern w:val="0"/>
          <w:sz w:val="24"/>
          <w:szCs w:val="24"/>
        </w:rPr>
        <w:t>11</w:t>
      </w:r>
      <w:r w:rsidR="00100008" w:rsidRPr="00100008">
        <w:rPr>
          <w:rFonts w:ascii="Times New Roman" w:hAnsi="Times New Roman" w:cs="Times New Roman" w:hint="eastAsia"/>
          <w:kern w:val="0"/>
          <w:sz w:val="24"/>
          <w:szCs w:val="24"/>
        </w:rPr>
        <w:t>所示：</w:t>
      </w:r>
    </w:p>
    <w:p w:rsidR="00100008" w:rsidRDefault="00100008" w:rsidP="00100008">
      <w:pPr>
        <w:autoSpaceDE w:val="0"/>
        <w:autoSpaceDN w:val="0"/>
        <w:adjustRightInd w:val="0"/>
        <w:spacing w:line="360" w:lineRule="auto"/>
        <w:ind w:firstLineChars="200" w:firstLine="482"/>
        <w:jc w:val="center"/>
        <w:rPr>
          <w:rFonts w:ascii="Times New Roman" w:hAnsi="Times New Roman" w:cs="Times New Roman"/>
          <w:b/>
          <w:kern w:val="0"/>
          <w:sz w:val="24"/>
          <w:szCs w:val="24"/>
        </w:rPr>
      </w:pPr>
      <w:r w:rsidRPr="00100008">
        <w:rPr>
          <w:rFonts w:ascii="Times New Roman" w:hAnsi="Times New Roman" w:cs="Times New Roman" w:hint="eastAsia"/>
          <w:b/>
          <w:kern w:val="0"/>
          <w:sz w:val="24"/>
          <w:szCs w:val="24"/>
        </w:rPr>
        <w:t>表</w:t>
      </w:r>
      <w:r>
        <w:rPr>
          <w:rFonts w:ascii="Times New Roman" w:hAnsi="Times New Roman" w:cs="Times New Roman" w:hint="eastAsia"/>
          <w:b/>
          <w:kern w:val="0"/>
          <w:sz w:val="24"/>
          <w:szCs w:val="24"/>
        </w:rPr>
        <w:t>11</w:t>
      </w:r>
      <w:r w:rsidRPr="00100008">
        <w:rPr>
          <w:rFonts w:ascii="Times New Roman" w:hAnsi="Times New Roman" w:cs="Times New Roman" w:hint="eastAsia"/>
          <w:b/>
          <w:kern w:val="0"/>
          <w:sz w:val="24"/>
          <w:szCs w:val="24"/>
        </w:rPr>
        <w:t>：公司最近三年及</w:t>
      </w:r>
      <w:proofErr w:type="gramStart"/>
      <w:r w:rsidRPr="00100008">
        <w:rPr>
          <w:rFonts w:ascii="Times New Roman" w:hAnsi="Times New Roman" w:cs="Times New Roman" w:hint="eastAsia"/>
          <w:b/>
          <w:kern w:val="0"/>
          <w:sz w:val="24"/>
          <w:szCs w:val="24"/>
        </w:rPr>
        <w:t>一</w:t>
      </w:r>
      <w:proofErr w:type="gramEnd"/>
      <w:r w:rsidRPr="00100008">
        <w:rPr>
          <w:rFonts w:ascii="Times New Roman" w:hAnsi="Times New Roman" w:cs="Times New Roman" w:hint="eastAsia"/>
          <w:b/>
          <w:kern w:val="0"/>
          <w:sz w:val="24"/>
          <w:szCs w:val="24"/>
        </w:rPr>
        <w:t>期末主要偿债能力指标</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1470"/>
        <w:gridCol w:w="1470"/>
        <w:gridCol w:w="1470"/>
        <w:gridCol w:w="1470"/>
      </w:tblGrid>
      <w:tr w:rsidR="00100008" w:rsidRPr="00100008" w:rsidTr="00B862E5">
        <w:trPr>
          <w:trHeight w:hRule="exact" w:val="397"/>
          <w:tblHeader/>
          <w:jc w:val="center"/>
        </w:trPr>
        <w:tc>
          <w:tcPr>
            <w:tcW w:w="2648" w:type="dxa"/>
            <w:vAlign w:val="center"/>
          </w:tcPr>
          <w:p w:rsidR="00100008" w:rsidRPr="00100008" w:rsidRDefault="00100008" w:rsidP="00100008">
            <w:pPr>
              <w:widowControl/>
              <w:jc w:val="center"/>
              <w:textAlignment w:val="bottom"/>
              <w:rPr>
                <w:rFonts w:ascii="Times New Roman" w:eastAsia="宋体" w:hAnsi="Times New Roman" w:cs="Times New Roman"/>
                <w:b/>
                <w:bCs/>
                <w:szCs w:val="21"/>
              </w:rPr>
            </w:pPr>
            <w:r w:rsidRPr="00100008">
              <w:rPr>
                <w:rFonts w:ascii="Times New Roman" w:eastAsia="宋体" w:hAnsi="Times New Roman" w:cs="Times New Roman"/>
                <w:b/>
                <w:color w:val="000000"/>
                <w:kern w:val="0"/>
                <w:szCs w:val="21"/>
              </w:rPr>
              <w:t>主要财务指标</w:t>
            </w:r>
          </w:p>
        </w:tc>
        <w:tc>
          <w:tcPr>
            <w:tcW w:w="1470" w:type="dxa"/>
            <w:vAlign w:val="center"/>
          </w:tcPr>
          <w:p w:rsidR="00100008" w:rsidRPr="008C4B2A" w:rsidRDefault="00100008" w:rsidP="000949BF">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2015.3.31</w:t>
            </w:r>
          </w:p>
        </w:tc>
        <w:tc>
          <w:tcPr>
            <w:tcW w:w="1470" w:type="dxa"/>
            <w:vAlign w:val="center"/>
          </w:tcPr>
          <w:p w:rsidR="00100008" w:rsidRPr="008C4B2A" w:rsidRDefault="00100008" w:rsidP="000949BF">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2014.12.31</w:t>
            </w:r>
          </w:p>
        </w:tc>
        <w:tc>
          <w:tcPr>
            <w:tcW w:w="1470" w:type="dxa"/>
            <w:vAlign w:val="center"/>
          </w:tcPr>
          <w:p w:rsidR="00100008" w:rsidRPr="008C4B2A" w:rsidRDefault="00100008" w:rsidP="000949BF">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2013.12.31</w:t>
            </w:r>
          </w:p>
        </w:tc>
        <w:tc>
          <w:tcPr>
            <w:tcW w:w="1470" w:type="dxa"/>
            <w:vAlign w:val="center"/>
          </w:tcPr>
          <w:p w:rsidR="00100008" w:rsidRPr="008C4B2A" w:rsidRDefault="00100008" w:rsidP="000949BF">
            <w:pPr>
              <w:widowControl/>
              <w:jc w:val="center"/>
              <w:textAlignment w:val="bottom"/>
              <w:rPr>
                <w:rFonts w:ascii="Times New Roman" w:eastAsia="宋体" w:hAnsi="Times New Roman" w:cs="Times New Roman"/>
                <w:b/>
                <w:color w:val="000000"/>
                <w:szCs w:val="21"/>
              </w:rPr>
            </w:pPr>
            <w:r w:rsidRPr="008C4B2A">
              <w:rPr>
                <w:rFonts w:ascii="Times New Roman" w:eastAsia="宋体" w:hAnsi="Times New Roman" w:cs="Times New Roman"/>
                <w:b/>
                <w:color w:val="000000"/>
                <w:kern w:val="0"/>
                <w:szCs w:val="21"/>
              </w:rPr>
              <w:t>2012.12.31</w:t>
            </w:r>
          </w:p>
        </w:tc>
      </w:tr>
      <w:tr w:rsidR="00100008" w:rsidRPr="00100008" w:rsidTr="00B862E5">
        <w:trPr>
          <w:trHeight w:hRule="exact" w:val="397"/>
          <w:jc w:val="center"/>
        </w:trPr>
        <w:tc>
          <w:tcPr>
            <w:tcW w:w="2648" w:type="dxa"/>
            <w:vAlign w:val="center"/>
          </w:tcPr>
          <w:p w:rsidR="00100008" w:rsidRPr="00100008" w:rsidRDefault="00100008" w:rsidP="00100008">
            <w:pPr>
              <w:widowControl/>
              <w:textAlignment w:val="bottom"/>
              <w:rPr>
                <w:rFonts w:ascii="Times New Roman" w:eastAsia="宋体" w:hAnsi="Times New Roman" w:cs="Times New Roman"/>
                <w:szCs w:val="21"/>
              </w:rPr>
            </w:pPr>
            <w:r w:rsidRPr="00100008">
              <w:rPr>
                <w:rFonts w:ascii="Times New Roman" w:eastAsia="宋体" w:hAnsi="Times New Roman" w:cs="Times New Roman"/>
                <w:color w:val="000000"/>
                <w:kern w:val="0"/>
                <w:szCs w:val="21"/>
              </w:rPr>
              <w:t>流动比率（</w:t>
            </w:r>
            <w:proofErr w:type="gramStart"/>
            <w:r w:rsidRPr="00100008">
              <w:rPr>
                <w:rFonts w:ascii="Times New Roman" w:eastAsia="宋体" w:hAnsi="Times New Roman" w:cs="Times New Roman"/>
                <w:color w:val="000000"/>
                <w:kern w:val="0"/>
                <w:szCs w:val="21"/>
              </w:rPr>
              <w:t>倍</w:t>
            </w:r>
            <w:proofErr w:type="gramEnd"/>
            <w:r w:rsidRPr="00100008">
              <w:rPr>
                <w:rFonts w:ascii="Times New Roman" w:eastAsia="宋体" w:hAnsi="Times New Roman" w:cs="Times New Roman"/>
                <w:color w:val="000000"/>
                <w:kern w:val="0"/>
                <w:szCs w:val="21"/>
              </w:rPr>
              <w:t>）</w:t>
            </w:r>
          </w:p>
        </w:tc>
        <w:tc>
          <w:tcPr>
            <w:tcW w:w="1470" w:type="dxa"/>
            <w:vAlign w:val="center"/>
          </w:tcPr>
          <w:p w:rsidR="00100008" w:rsidRPr="00100008" w:rsidRDefault="00100008" w:rsidP="00100008">
            <w:pPr>
              <w:widowControl/>
              <w:jc w:val="right"/>
              <w:rPr>
                <w:rFonts w:ascii="Times New Roman" w:eastAsia="宋体" w:hAnsi="Times New Roman" w:cs="Times New Roman"/>
                <w:kern w:val="0"/>
                <w:szCs w:val="21"/>
              </w:rPr>
            </w:pPr>
            <w:r w:rsidRPr="00100008">
              <w:rPr>
                <w:rFonts w:ascii="Times New Roman" w:eastAsia="宋体" w:hAnsi="Times New Roman" w:cs="Times New Roman" w:hint="eastAsia"/>
                <w:kern w:val="0"/>
                <w:szCs w:val="21"/>
              </w:rPr>
              <w:t>2.43</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szCs w:val="21"/>
              </w:rPr>
            </w:pPr>
            <w:r w:rsidRPr="00100008">
              <w:rPr>
                <w:rFonts w:ascii="Times New Roman" w:eastAsia="宋体" w:hAnsi="Times New Roman" w:cs="Times New Roman" w:hint="eastAsia"/>
                <w:szCs w:val="21"/>
              </w:rPr>
              <w:t>2.06</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2.21</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1.77</w:t>
            </w:r>
          </w:p>
        </w:tc>
      </w:tr>
      <w:tr w:rsidR="00100008" w:rsidRPr="00100008" w:rsidTr="00B862E5">
        <w:trPr>
          <w:trHeight w:hRule="exact" w:val="397"/>
          <w:jc w:val="center"/>
        </w:trPr>
        <w:tc>
          <w:tcPr>
            <w:tcW w:w="2648" w:type="dxa"/>
            <w:vAlign w:val="center"/>
          </w:tcPr>
          <w:p w:rsidR="00100008" w:rsidRPr="00100008" w:rsidRDefault="00100008" w:rsidP="00100008">
            <w:pPr>
              <w:widowControl/>
              <w:textAlignment w:val="bottom"/>
              <w:rPr>
                <w:rFonts w:ascii="Times New Roman" w:eastAsia="宋体" w:hAnsi="Times New Roman" w:cs="Times New Roman"/>
                <w:szCs w:val="21"/>
              </w:rPr>
            </w:pPr>
            <w:r w:rsidRPr="00100008">
              <w:rPr>
                <w:rFonts w:ascii="Times New Roman" w:eastAsia="宋体" w:hAnsi="Times New Roman" w:cs="Times New Roman"/>
                <w:color w:val="000000"/>
                <w:kern w:val="0"/>
                <w:szCs w:val="21"/>
              </w:rPr>
              <w:t>速动比率（</w:t>
            </w:r>
            <w:proofErr w:type="gramStart"/>
            <w:r w:rsidRPr="00100008">
              <w:rPr>
                <w:rFonts w:ascii="Times New Roman" w:eastAsia="宋体" w:hAnsi="Times New Roman" w:cs="Times New Roman"/>
                <w:color w:val="000000"/>
                <w:kern w:val="0"/>
                <w:szCs w:val="21"/>
              </w:rPr>
              <w:t>倍</w:t>
            </w:r>
            <w:proofErr w:type="gramEnd"/>
            <w:r w:rsidRPr="00100008">
              <w:rPr>
                <w:rFonts w:ascii="Times New Roman" w:eastAsia="宋体" w:hAnsi="Times New Roman" w:cs="Times New Roman"/>
                <w:color w:val="000000"/>
                <w:kern w:val="0"/>
                <w:szCs w:val="21"/>
              </w:rPr>
              <w:t>）</w:t>
            </w:r>
          </w:p>
        </w:tc>
        <w:tc>
          <w:tcPr>
            <w:tcW w:w="1470" w:type="dxa"/>
            <w:vAlign w:val="center"/>
          </w:tcPr>
          <w:p w:rsidR="00100008" w:rsidRPr="00100008" w:rsidRDefault="00100008" w:rsidP="00100008">
            <w:pPr>
              <w:widowControl/>
              <w:jc w:val="right"/>
              <w:rPr>
                <w:rFonts w:ascii="Times New Roman" w:eastAsia="宋体" w:hAnsi="Times New Roman" w:cs="Times New Roman"/>
                <w:kern w:val="0"/>
                <w:szCs w:val="21"/>
              </w:rPr>
            </w:pPr>
            <w:r w:rsidRPr="00100008">
              <w:rPr>
                <w:rFonts w:ascii="Times New Roman" w:eastAsia="宋体" w:hAnsi="Times New Roman" w:cs="Times New Roman" w:hint="eastAsia"/>
                <w:kern w:val="0"/>
                <w:szCs w:val="21"/>
              </w:rPr>
              <w:t>0.</w:t>
            </w:r>
            <w:r w:rsidR="00152D72">
              <w:rPr>
                <w:rFonts w:ascii="Times New Roman" w:eastAsia="宋体" w:hAnsi="Times New Roman" w:cs="Times New Roman" w:hint="eastAsia"/>
                <w:kern w:val="0"/>
                <w:szCs w:val="21"/>
              </w:rPr>
              <w:t>47</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szCs w:val="21"/>
              </w:rPr>
            </w:pPr>
            <w:r w:rsidRPr="00100008">
              <w:rPr>
                <w:rFonts w:ascii="Times New Roman" w:eastAsia="宋体" w:hAnsi="Times New Roman" w:cs="Times New Roman" w:hint="eastAsia"/>
                <w:szCs w:val="21"/>
              </w:rPr>
              <w:t>0.</w:t>
            </w:r>
            <w:r w:rsidR="00152D72">
              <w:rPr>
                <w:rFonts w:ascii="Times New Roman" w:eastAsia="宋体" w:hAnsi="Times New Roman" w:cs="Times New Roman" w:hint="eastAsia"/>
                <w:szCs w:val="21"/>
              </w:rPr>
              <w:t>53</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0.</w:t>
            </w:r>
            <w:r w:rsidR="00152D72">
              <w:rPr>
                <w:rFonts w:ascii="Times New Roman" w:eastAsia="宋体" w:hAnsi="Times New Roman" w:cs="Times New Roman" w:hint="eastAsia"/>
                <w:color w:val="000000"/>
                <w:kern w:val="0"/>
                <w:szCs w:val="21"/>
              </w:rPr>
              <w:t>64</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0.</w:t>
            </w:r>
            <w:r w:rsidR="00152D72">
              <w:rPr>
                <w:rFonts w:ascii="Times New Roman" w:eastAsia="宋体" w:hAnsi="Times New Roman" w:cs="Times New Roman" w:hint="eastAsia"/>
                <w:color w:val="000000"/>
                <w:kern w:val="0"/>
                <w:szCs w:val="21"/>
              </w:rPr>
              <w:t>54</w:t>
            </w:r>
          </w:p>
        </w:tc>
      </w:tr>
      <w:tr w:rsidR="00100008" w:rsidRPr="00100008" w:rsidTr="00B862E5">
        <w:trPr>
          <w:trHeight w:hRule="exact" w:val="397"/>
          <w:jc w:val="center"/>
        </w:trPr>
        <w:tc>
          <w:tcPr>
            <w:tcW w:w="2648" w:type="dxa"/>
            <w:vAlign w:val="center"/>
          </w:tcPr>
          <w:p w:rsidR="00100008" w:rsidRPr="00100008" w:rsidRDefault="00100008" w:rsidP="00100008">
            <w:pPr>
              <w:widowControl/>
              <w:textAlignment w:val="bottom"/>
              <w:rPr>
                <w:rFonts w:ascii="Times New Roman" w:eastAsia="宋体" w:hAnsi="Times New Roman" w:cs="Times New Roman"/>
                <w:szCs w:val="21"/>
              </w:rPr>
            </w:pPr>
            <w:r w:rsidRPr="00100008">
              <w:rPr>
                <w:rFonts w:ascii="Times New Roman" w:eastAsia="宋体" w:hAnsi="Times New Roman" w:cs="Times New Roman"/>
                <w:color w:val="000000"/>
                <w:kern w:val="0"/>
                <w:szCs w:val="21"/>
              </w:rPr>
              <w:t>资产负债率（</w:t>
            </w:r>
            <w:r w:rsidR="00152D72">
              <w:rPr>
                <w:rFonts w:ascii="Times New Roman" w:eastAsia="宋体" w:hAnsi="Times New Roman" w:cs="Times New Roman"/>
                <w:color w:val="000000"/>
                <w:szCs w:val="21"/>
              </w:rPr>
              <w:t>合并报表</w:t>
            </w:r>
            <w:r w:rsidRPr="00100008">
              <w:rPr>
                <w:rFonts w:ascii="Times New Roman" w:eastAsia="宋体" w:hAnsi="Times New Roman" w:cs="Times New Roman"/>
                <w:color w:val="000000"/>
                <w:szCs w:val="21"/>
              </w:rPr>
              <w:t>）</w:t>
            </w:r>
          </w:p>
        </w:tc>
        <w:tc>
          <w:tcPr>
            <w:tcW w:w="1470" w:type="dxa"/>
            <w:vAlign w:val="center"/>
          </w:tcPr>
          <w:p w:rsidR="00100008" w:rsidRPr="00100008" w:rsidRDefault="00100008" w:rsidP="00100008">
            <w:pPr>
              <w:widowControl/>
              <w:jc w:val="right"/>
              <w:rPr>
                <w:rFonts w:ascii="Times New Roman" w:eastAsia="宋体" w:hAnsi="Times New Roman" w:cs="Times New Roman"/>
                <w:szCs w:val="21"/>
              </w:rPr>
            </w:pPr>
            <w:r w:rsidRPr="00100008">
              <w:rPr>
                <w:rFonts w:ascii="Times New Roman" w:eastAsia="宋体" w:hAnsi="Times New Roman" w:cs="Times New Roman" w:hint="eastAsia"/>
                <w:szCs w:val="21"/>
              </w:rPr>
              <w:t>67.42</w:t>
            </w:r>
            <w:r w:rsidR="00152D72">
              <w:rPr>
                <w:rFonts w:ascii="Times New Roman" w:eastAsia="宋体" w:hAnsi="Times New Roman" w:cs="Times New Roman" w:hint="eastAsia"/>
                <w:szCs w:val="21"/>
              </w:rPr>
              <w:t>%</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69.40</w:t>
            </w:r>
            <w:r w:rsidR="00152D72">
              <w:rPr>
                <w:rFonts w:ascii="Times New Roman" w:eastAsia="宋体" w:hAnsi="Times New Roman" w:cs="Times New Roman" w:hint="eastAsia"/>
                <w:color w:val="000000"/>
                <w:kern w:val="0"/>
                <w:szCs w:val="21"/>
              </w:rPr>
              <w:t>%</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67.85</w:t>
            </w:r>
            <w:r w:rsidR="00152D72">
              <w:rPr>
                <w:rFonts w:ascii="Times New Roman" w:eastAsia="宋体" w:hAnsi="Times New Roman" w:cs="Times New Roman" w:hint="eastAsia"/>
                <w:color w:val="000000"/>
                <w:kern w:val="0"/>
                <w:szCs w:val="21"/>
              </w:rPr>
              <w:t>%</w:t>
            </w:r>
          </w:p>
        </w:tc>
        <w:tc>
          <w:tcPr>
            <w:tcW w:w="1470" w:type="dxa"/>
            <w:vAlign w:val="center"/>
          </w:tcPr>
          <w:p w:rsidR="00100008" w:rsidRPr="00100008" w:rsidRDefault="00100008" w:rsidP="00100008">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kern w:val="0"/>
                <w:szCs w:val="21"/>
              </w:rPr>
              <w:t>69.95</w:t>
            </w:r>
            <w:r w:rsidR="00152D72">
              <w:rPr>
                <w:rFonts w:ascii="Times New Roman" w:eastAsia="宋体" w:hAnsi="Times New Roman" w:cs="Times New Roman" w:hint="eastAsia"/>
                <w:color w:val="000000"/>
                <w:kern w:val="0"/>
                <w:szCs w:val="21"/>
              </w:rPr>
              <w:t>%</w:t>
            </w:r>
          </w:p>
        </w:tc>
      </w:tr>
    </w:tbl>
    <w:p w:rsidR="00100008" w:rsidRPr="00100008" w:rsidRDefault="00100008" w:rsidP="00100008">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100008">
        <w:rPr>
          <w:rFonts w:ascii="Times New Roman" w:hAnsi="Times New Roman" w:cs="Times New Roman" w:hint="eastAsia"/>
          <w:kern w:val="0"/>
          <w:sz w:val="24"/>
          <w:szCs w:val="24"/>
        </w:rPr>
        <w:t>2012</w:t>
      </w:r>
      <w:r w:rsidRPr="00100008">
        <w:rPr>
          <w:rFonts w:ascii="Times New Roman" w:hAnsi="Times New Roman" w:cs="Times New Roman" w:hint="eastAsia"/>
          <w:kern w:val="0"/>
          <w:sz w:val="24"/>
          <w:szCs w:val="24"/>
        </w:rPr>
        <w:t>至</w:t>
      </w:r>
      <w:r w:rsidRPr="00100008">
        <w:rPr>
          <w:rFonts w:ascii="Times New Roman" w:hAnsi="Times New Roman" w:cs="Times New Roman" w:hint="eastAsia"/>
          <w:kern w:val="0"/>
          <w:sz w:val="24"/>
          <w:szCs w:val="24"/>
        </w:rPr>
        <w:t>2014</w:t>
      </w:r>
      <w:r w:rsidRPr="00100008">
        <w:rPr>
          <w:rFonts w:ascii="Times New Roman" w:hAnsi="Times New Roman" w:cs="Times New Roman" w:hint="eastAsia"/>
          <w:kern w:val="0"/>
          <w:sz w:val="24"/>
          <w:szCs w:val="24"/>
        </w:rPr>
        <w:t>年末及</w:t>
      </w:r>
      <w:r w:rsidRPr="00100008">
        <w:rPr>
          <w:rFonts w:ascii="Times New Roman" w:hAnsi="Times New Roman" w:cs="Times New Roman" w:hint="eastAsia"/>
          <w:kern w:val="0"/>
          <w:sz w:val="24"/>
          <w:szCs w:val="24"/>
        </w:rPr>
        <w:t>2015</w:t>
      </w:r>
      <w:r w:rsidRPr="00100008">
        <w:rPr>
          <w:rFonts w:ascii="Times New Roman" w:hAnsi="Times New Roman" w:cs="Times New Roman" w:hint="eastAsia"/>
          <w:kern w:val="0"/>
          <w:sz w:val="24"/>
          <w:szCs w:val="24"/>
        </w:rPr>
        <w:t>年</w:t>
      </w:r>
      <w:r w:rsidRPr="00100008">
        <w:rPr>
          <w:rFonts w:ascii="Times New Roman" w:hAnsi="Times New Roman" w:cs="Times New Roman" w:hint="eastAsia"/>
          <w:kern w:val="0"/>
          <w:sz w:val="24"/>
          <w:szCs w:val="24"/>
        </w:rPr>
        <w:t>3</w:t>
      </w:r>
      <w:r w:rsidRPr="00100008">
        <w:rPr>
          <w:rFonts w:ascii="Times New Roman" w:hAnsi="Times New Roman" w:cs="Times New Roman" w:hint="eastAsia"/>
          <w:kern w:val="0"/>
          <w:sz w:val="24"/>
          <w:szCs w:val="24"/>
        </w:rPr>
        <w:t>月</w:t>
      </w:r>
      <w:r>
        <w:rPr>
          <w:rFonts w:ascii="Times New Roman" w:hAnsi="Times New Roman" w:cs="Times New Roman" w:hint="eastAsia"/>
          <w:kern w:val="0"/>
          <w:sz w:val="24"/>
          <w:szCs w:val="24"/>
        </w:rPr>
        <w:t>末</w:t>
      </w:r>
      <w:r w:rsidRPr="00100008">
        <w:rPr>
          <w:rFonts w:ascii="Times New Roman" w:hAnsi="Times New Roman" w:cs="Times New Roman" w:hint="eastAsia"/>
          <w:kern w:val="0"/>
          <w:sz w:val="24"/>
          <w:szCs w:val="24"/>
        </w:rPr>
        <w:t>，公司的流动比率分别为</w:t>
      </w:r>
      <w:r w:rsidRPr="00100008">
        <w:rPr>
          <w:rFonts w:ascii="Times New Roman" w:hAnsi="Times New Roman" w:cs="Times New Roman" w:hint="eastAsia"/>
          <w:kern w:val="0"/>
          <w:sz w:val="24"/>
          <w:szCs w:val="24"/>
        </w:rPr>
        <w:t>1.77</w:t>
      </w:r>
      <w:r w:rsidRPr="00100008">
        <w:rPr>
          <w:rFonts w:ascii="Times New Roman" w:hAnsi="Times New Roman" w:cs="Times New Roman" w:hint="eastAsia"/>
          <w:kern w:val="0"/>
          <w:sz w:val="24"/>
          <w:szCs w:val="24"/>
        </w:rPr>
        <w:t>、</w:t>
      </w:r>
      <w:r w:rsidRPr="00100008">
        <w:rPr>
          <w:rFonts w:ascii="Times New Roman" w:hAnsi="Times New Roman" w:cs="Times New Roman" w:hint="eastAsia"/>
          <w:kern w:val="0"/>
          <w:sz w:val="24"/>
          <w:szCs w:val="24"/>
        </w:rPr>
        <w:t>2.21</w:t>
      </w:r>
      <w:r w:rsidRPr="00100008">
        <w:rPr>
          <w:rFonts w:ascii="Times New Roman" w:hAnsi="Times New Roman" w:cs="Times New Roman" w:hint="eastAsia"/>
          <w:kern w:val="0"/>
          <w:sz w:val="24"/>
          <w:szCs w:val="24"/>
        </w:rPr>
        <w:t>、</w:t>
      </w:r>
      <w:r w:rsidRPr="00100008">
        <w:rPr>
          <w:rFonts w:ascii="Times New Roman" w:hAnsi="Times New Roman" w:cs="Times New Roman" w:hint="eastAsia"/>
          <w:kern w:val="0"/>
          <w:sz w:val="24"/>
          <w:szCs w:val="24"/>
        </w:rPr>
        <w:t>2.06</w:t>
      </w:r>
      <w:r w:rsidRPr="00100008">
        <w:rPr>
          <w:rFonts w:ascii="Times New Roman" w:hAnsi="Times New Roman" w:cs="Times New Roman" w:hint="eastAsia"/>
          <w:kern w:val="0"/>
          <w:sz w:val="24"/>
          <w:szCs w:val="24"/>
        </w:rPr>
        <w:t>和</w:t>
      </w:r>
      <w:r w:rsidRPr="00100008">
        <w:rPr>
          <w:rFonts w:ascii="Times New Roman" w:hAnsi="Times New Roman" w:cs="Times New Roman" w:hint="eastAsia"/>
          <w:kern w:val="0"/>
          <w:sz w:val="24"/>
          <w:szCs w:val="24"/>
        </w:rPr>
        <w:t>2.43</w:t>
      </w:r>
      <w:r w:rsidRPr="00100008">
        <w:rPr>
          <w:rFonts w:ascii="Times New Roman" w:hAnsi="Times New Roman" w:cs="Times New Roman" w:hint="eastAsia"/>
          <w:kern w:val="0"/>
          <w:sz w:val="24"/>
          <w:szCs w:val="24"/>
        </w:rPr>
        <w:t>，速动比率分别为</w:t>
      </w:r>
      <w:r w:rsidR="00152D72">
        <w:rPr>
          <w:rFonts w:ascii="Times New Roman" w:hAnsi="Times New Roman" w:cs="Times New Roman" w:hint="eastAsia"/>
          <w:kern w:val="0"/>
          <w:sz w:val="24"/>
          <w:szCs w:val="24"/>
        </w:rPr>
        <w:t>0.54</w:t>
      </w:r>
      <w:r w:rsidRPr="00100008">
        <w:rPr>
          <w:rFonts w:ascii="Times New Roman" w:hAnsi="Times New Roman" w:cs="Times New Roman" w:hint="eastAsia"/>
          <w:kern w:val="0"/>
          <w:sz w:val="24"/>
          <w:szCs w:val="24"/>
        </w:rPr>
        <w:t>、</w:t>
      </w:r>
      <w:r w:rsidR="00152D72">
        <w:rPr>
          <w:rFonts w:ascii="Times New Roman" w:hAnsi="Times New Roman" w:cs="Times New Roman" w:hint="eastAsia"/>
          <w:kern w:val="0"/>
          <w:sz w:val="24"/>
          <w:szCs w:val="24"/>
        </w:rPr>
        <w:t>0.64</w:t>
      </w:r>
      <w:r w:rsidRPr="00100008">
        <w:rPr>
          <w:rFonts w:ascii="Times New Roman" w:hAnsi="Times New Roman" w:cs="Times New Roman" w:hint="eastAsia"/>
          <w:kern w:val="0"/>
          <w:sz w:val="24"/>
          <w:szCs w:val="24"/>
        </w:rPr>
        <w:t>、</w:t>
      </w:r>
      <w:r w:rsidR="00152D72">
        <w:rPr>
          <w:rFonts w:ascii="Times New Roman" w:hAnsi="Times New Roman" w:cs="Times New Roman" w:hint="eastAsia"/>
          <w:kern w:val="0"/>
          <w:sz w:val="24"/>
          <w:szCs w:val="24"/>
        </w:rPr>
        <w:t>0.53</w:t>
      </w:r>
      <w:r w:rsidRPr="00100008">
        <w:rPr>
          <w:rFonts w:ascii="Times New Roman" w:hAnsi="Times New Roman" w:cs="Times New Roman" w:hint="eastAsia"/>
          <w:kern w:val="0"/>
          <w:sz w:val="24"/>
          <w:szCs w:val="24"/>
        </w:rPr>
        <w:t>和</w:t>
      </w:r>
      <w:r w:rsidRPr="00100008">
        <w:rPr>
          <w:rFonts w:ascii="Times New Roman" w:hAnsi="Times New Roman" w:cs="Times New Roman" w:hint="eastAsia"/>
          <w:kern w:val="0"/>
          <w:sz w:val="24"/>
          <w:szCs w:val="24"/>
        </w:rPr>
        <w:t>0.</w:t>
      </w:r>
      <w:r w:rsidR="00152D72">
        <w:rPr>
          <w:rFonts w:ascii="Times New Roman" w:hAnsi="Times New Roman" w:cs="Times New Roman" w:hint="eastAsia"/>
          <w:kern w:val="0"/>
          <w:sz w:val="24"/>
          <w:szCs w:val="24"/>
        </w:rPr>
        <w:t>47</w:t>
      </w:r>
      <w:r w:rsidR="00A6723E" w:rsidRPr="00C529A9">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公司</w:t>
      </w:r>
      <w:r w:rsidR="00A6723E" w:rsidRPr="00C529A9">
        <w:rPr>
          <w:rFonts w:ascii="Times New Roman" w:hAnsi="Times New Roman" w:cs="Times New Roman" w:hint="eastAsia"/>
          <w:kern w:val="0"/>
          <w:sz w:val="24"/>
          <w:szCs w:val="24"/>
        </w:rPr>
        <w:t>近三年及一期</w:t>
      </w:r>
      <w:r w:rsidR="00D07843" w:rsidRPr="00D07843">
        <w:rPr>
          <w:rFonts w:ascii="Times New Roman" w:hAnsi="Times New Roman" w:cs="Times New Roman" w:hint="eastAsia"/>
          <w:kern w:val="0"/>
          <w:sz w:val="24"/>
          <w:szCs w:val="24"/>
        </w:rPr>
        <w:t>流动比率的增长</w:t>
      </w:r>
      <w:r w:rsidR="00C529A9">
        <w:rPr>
          <w:rFonts w:ascii="Times New Roman" w:hAnsi="Times New Roman" w:cs="Times New Roman" w:hint="eastAsia"/>
          <w:kern w:val="0"/>
          <w:sz w:val="24"/>
          <w:szCs w:val="24"/>
        </w:rPr>
        <w:t>及</w:t>
      </w:r>
      <w:r w:rsidR="00A6723E" w:rsidRPr="00C529A9">
        <w:rPr>
          <w:rFonts w:ascii="Times New Roman" w:hAnsi="Times New Roman" w:cs="Times New Roman" w:hint="eastAsia"/>
          <w:kern w:val="0"/>
          <w:sz w:val="24"/>
          <w:szCs w:val="24"/>
        </w:rPr>
        <w:t>速动比率</w:t>
      </w:r>
      <w:r w:rsidR="00D07843" w:rsidRPr="00D07843">
        <w:rPr>
          <w:rFonts w:ascii="Times New Roman" w:hAnsi="Times New Roman" w:cs="Times New Roman" w:hint="eastAsia"/>
          <w:kern w:val="0"/>
          <w:sz w:val="24"/>
          <w:szCs w:val="24"/>
        </w:rPr>
        <w:t>的</w:t>
      </w:r>
      <w:r w:rsidR="00A6723E" w:rsidRPr="00C529A9">
        <w:rPr>
          <w:rFonts w:ascii="Times New Roman" w:hAnsi="Times New Roman" w:cs="Times New Roman" w:hint="eastAsia"/>
          <w:kern w:val="0"/>
          <w:sz w:val="24"/>
          <w:szCs w:val="24"/>
        </w:rPr>
        <w:t>下降，主要是因为存货增加所致，但总体而言较为稳定。</w:t>
      </w:r>
    </w:p>
    <w:p w:rsidR="00100008" w:rsidRDefault="00100008" w:rsidP="00100008">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100008">
        <w:rPr>
          <w:rFonts w:ascii="Times New Roman" w:hAnsi="Times New Roman" w:cs="Times New Roman" w:hint="eastAsia"/>
          <w:kern w:val="0"/>
          <w:sz w:val="24"/>
          <w:szCs w:val="24"/>
        </w:rPr>
        <w:t>2012</w:t>
      </w:r>
      <w:r w:rsidRPr="00100008">
        <w:rPr>
          <w:rFonts w:ascii="Times New Roman" w:hAnsi="Times New Roman" w:cs="Times New Roman" w:hint="eastAsia"/>
          <w:kern w:val="0"/>
          <w:sz w:val="24"/>
          <w:szCs w:val="24"/>
        </w:rPr>
        <w:t>至</w:t>
      </w:r>
      <w:r w:rsidRPr="00100008">
        <w:rPr>
          <w:rFonts w:ascii="Times New Roman" w:hAnsi="Times New Roman" w:cs="Times New Roman" w:hint="eastAsia"/>
          <w:kern w:val="0"/>
          <w:sz w:val="24"/>
          <w:szCs w:val="24"/>
        </w:rPr>
        <w:t>2014</w:t>
      </w:r>
      <w:r w:rsidRPr="00100008">
        <w:rPr>
          <w:rFonts w:ascii="Times New Roman" w:hAnsi="Times New Roman" w:cs="Times New Roman" w:hint="eastAsia"/>
          <w:kern w:val="0"/>
          <w:sz w:val="24"/>
          <w:szCs w:val="24"/>
        </w:rPr>
        <w:t>年末及</w:t>
      </w:r>
      <w:r w:rsidRPr="00100008">
        <w:rPr>
          <w:rFonts w:ascii="Times New Roman" w:hAnsi="Times New Roman" w:cs="Times New Roman" w:hint="eastAsia"/>
          <w:kern w:val="0"/>
          <w:sz w:val="24"/>
          <w:szCs w:val="24"/>
        </w:rPr>
        <w:t>2015</w:t>
      </w:r>
      <w:r w:rsidRPr="00100008">
        <w:rPr>
          <w:rFonts w:ascii="Times New Roman" w:hAnsi="Times New Roman" w:cs="Times New Roman" w:hint="eastAsia"/>
          <w:kern w:val="0"/>
          <w:sz w:val="24"/>
          <w:szCs w:val="24"/>
        </w:rPr>
        <w:t>年</w:t>
      </w:r>
      <w:r w:rsidRPr="00100008">
        <w:rPr>
          <w:rFonts w:ascii="Times New Roman" w:hAnsi="Times New Roman" w:cs="Times New Roman" w:hint="eastAsia"/>
          <w:kern w:val="0"/>
          <w:sz w:val="24"/>
          <w:szCs w:val="24"/>
        </w:rPr>
        <w:t>3</w:t>
      </w:r>
      <w:r w:rsidRPr="00100008">
        <w:rPr>
          <w:rFonts w:ascii="Times New Roman" w:hAnsi="Times New Roman" w:cs="Times New Roman" w:hint="eastAsia"/>
          <w:kern w:val="0"/>
          <w:sz w:val="24"/>
          <w:szCs w:val="24"/>
        </w:rPr>
        <w:t>月</w:t>
      </w:r>
      <w:r>
        <w:rPr>
          <w:rFonts w:ascii="Times New Roman" w:hAnsi="Times New Roman" w:cs="Times New Roman" w:hint="eastAsia"/>
          <w:kern w:val="0"/>
          <w:sz w:val="24"/>
          <w:szCs w:val="24"/>
        </w:rPr>
        <w:t>末</w:t>
      </w:r>
      <w:r w:rsidRPr="00100008">
        <w:rPr>
          <w:rFonts w:ascii="Times New Roman" w:hAnsi="Times New Roman" w:cs="Times New Roman" w:hint="eastAsia"/>
          <w:kern w:val="0"/>
          <w:sz w:val="24"/>
          <w:szCs w:val="24"/>
        </w:rPr>
        <w:t>，公司资产负债率分别为</w:t>
      </w:r>
      <w:r w:rsidRPr="00100008">
        <w:rPr>
          <w:rFonts w:ascii="Times New Roman" w:hAnsi="Times New Roman" w:cs="Times New Roman" w:hint="eastAsia"/>
          <w:kern w:val="0"/>
          <w:sz w:val="24"/>
          <w:szCs w:val="24"/>
        </w:rPr>
        <w:t>69.95%</w:t>
      </w:r>
      <w:r w:rsidRPr="00100008">
        <w:rPr>
          <w:rFonts w:ascii="Times New Roman" w:hAnsi="Times New Roman" w:cs="Times New Roman" w:hint="eastAsia"/>
          <w:kern w:val="0"/>
          <w:sz w:val="24"/>
          <w:szCs w:val="24"/>
        </w:rPr>
        <w:t>、</w:t>
      </w:r>
      <w:r w:rsidRPr="00100008">
        <w:rPr>
          <w:rFonts w:ascii="Times New Roman" w:hAnsi="Times New Roman" w:cs="Times New Roman" w:hint="eastAsia"/>
          <w:kern w:val="0"/>
          <w:sz w:val="24"/>
          <w:szCs w:val="24"/>
        </w:rPr>
        <w:t>67.85%</w:t>
      </w:r>
      <w:r w:rsidRPr="00100008">
        <w:rPr>
          <w:rFonts w:ascii="Times New Roman" w:hAnsi="Times New Roman" w:cs="Times New Roman" w:hint="eastAsia"/>
          <w:kern w:val="0"/>
          <w:sz w:val="24"/>
          <w:szCs w:val="24"/>
        </w:rPr>
        <w:t>、</w:t>
      </w:r>
      <w:r w:rsidRPr="00100008">
        <w:rPr>
          <w:rFonts w:ascii="Times New Roman" w:hAnsi="Times New Roman" w:cs="Times New Roman" w:hint="eastAsia"/>
          <w:kern w:val="0"/>
          <w:sz w:val="24"/>
          <w:szCs w:val="24"/>
        </w:rPr>
        <w:t>69.40%</w:t>
      </w:r>
      <w:r w:rsidRPr="00100008">
        <w:rPr>
          <w:rFonts w:ascii="Times New Roman" w:hAnsi="Times New Roman" w:cs="Times New Roman" w:hint="eastAsia"/>
          <w:kern w:val="0"/>
          <w:sz w:val="24"/>
          <w:szCs w:val="24"/>
        </w:rPr>
        <w:t>和</w:t>
      </w:r>
      <w:r w:rsidRPr="00100008">
        <w:rPr>
          <w:rFonts w:ascii="Times New Roman" w:hAnsi="Times New Roman" w:cs="Times New Roman" w:hint="eastAsia"/>
          <w:kern w:val="0"/>
          <w:sz w:val="24"/>
          <w:szCs w:val="24"/>
        </w:rPr>
        <w:t>67.42%</w:t>
      </w:r>
      <w:r w:rsidRPr="00100008">
        <w:rPr>
          <w:rFonts w:ascii="Times New Roman" w:hAnsi="Times New Roman" w:cs="Times New Roman" w:hint="eastAsia"/>
          <w:kern w:val="0"/>
          <w:sz w:val="24"/>
          <w:szCs w:val="24"/>
        </w:rPr>
        <w:t>。报告期内公司资产负债率保持稳定，且资产负债率在行业内一直保持在较低水平，资产负债结构较为合理。</w:t>
      </w:r>
    </w:p>
    <w:p w:rsidR="00100008" w:rsidRDefault="00100008" w:rsidP="000949BF">
      <w:pPr>
        <w:autoSpaceDE w:val="0"/>
        <w:autoSpaceDN w:val="0"/>
        <w:adjustRightInd w:val="0"/>
        <w:spacing w:line="360" w:lineRule="auto"/>
        <w:ind w:firstLineChars="200" w:firstLine="480"/>
        <w:jc w:val="left"/>
        <w:outlineLvl w:val="0"/>
        <w:rPr>
          <w:rFonts w:ascii="Times New Roman" w:hAnsi="Times New Roman" w:cs="Times New Roman"/>
          <w:kern w:val="0"/>
          <w:sz w:val="24"/>
          <w:szCs w:val="24"/>
        </w:rPr>
      </w:pPr>
      <w:r w:rsidRPr="00100008">
        <w:rPr>
          <w:rFonts w:ascii="Times New Roman" w:hAnsi="Times New Roman" w:cs="Times New Roman" w:hint="eastAsia"/>
          <w:kern w:val="0"/>
          <w:sz w:val="24"/>
          <w:szCs w:val="24"/>
        </w:rPr>
        <w:t>5</w:t>
      </w:r>
      <w:r w:rsidRPr="00100008">
        <w:rPr>
          <w:rFonts w:ascii="Times New Roman" w:hAnsi="Times New Roman" w:cs="Times New Roman" w:hint="eastAsia"/>
          <w:kern w:val="0"/>
          <w:sz w:val="24"/>
          <w:szCs w:val="24"/>
        </w:rPr>
        <w:t>、盈利能力分析</w:t>
      </w:r>
    </w:p>
    <w:p w:rsidR="00100008" w:rsidRDefault="004D50BB" w:rsidP="00100008">
      <w:pPr>
        <w:autoSpaceDE w:val="0"/>
        <w:autoSpaceDN w:val="0"/>
        <w:adjustRightIn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公司最近三年及一期主要盈利能力指标如</w:t>
      </w:r>
      <w:r w:rsidR="00100008" w:rsidRPr="00100008">
        <w:rPr>
          <w:rFonts w:ascii="Times New Roman" w:hAnsi="Times New Roman" w:cs="Times New Roman" w:hint="eastAsia"/>
          <w:kern w:val="0"/>
          <w:sz w:val="24"/>
          <w:szCs w:val="24"/>
        </w:rPr>
        <w:t>表</w:t>
      </w:r>
      <w:r w:rsidR="00100008">
        <w:rPr>
          <w:rFonts w:ascii="Times New Roman" w:hAnsi="Times New Roman" w:cs="Times New Roman" w:hint="eastAsia"/>
          <w:kern w:val="0"/>
          <w:sz w:val="24"/>
          <w:szCs w:val="24"/>
        </w:rPr>
        <w:t>12</w:t>
      </w:r>
      <w:r w:rsidR="00100008" w:rsidRPr="00100008">
        <w:rPr>
          <w:rFonts w:ascii="Times New Roman" w:hAnsi="Times New Roman" w:cs="Times New Roman" w:hint="eastAsia"/>
          <w:kern w:val="0"/>
          <w:sz w:val="24"/>
          <w:szCs w:val="24"/>
        </w:rPr>
        <w:t>所示：</w:t>
      </w:r>
    </w:p>
    <w:p w:rsidR="00100008" w:rsidRPr="00100008" w:rsidRDefault="00100008" w:rsidP="00B862E5">
      <w:pPr>
        <w:autoSpaceDE w:val="0"/>
        <w:autoSpaceDN w:val="0"/>
        <w:adjustRightInd w:val="0"/>
        <w:ind w:firstLineChars="200" w:firstLine="482"/>
        <w:jc w:val="center"/>
        <w:rPr>
          <w:rFonts w:ascii="Times New Roman" w:hAnsi="Times New Roman" w:cs="Times New Roman"/>
          <w:b/>
          <w:kern w:val="0"/>
          <w:sz w:val="24"/>
          <w:szCs w:val="24"/>
        </w:rPr>
      </w:pPr>
      <w:r w:rsidRPr="00100008">
        <w:rPr>
          <w:rFonts w:ascii="Times New Roman" w:hAnsi="Times New Roman" w:cs="Times New Roman" w:hint="eastAsia"/>
          <w:b/>
          <w:kern w:val="0"/>
          <w:sz w:val="24"/>
          <w:szCs w:val="24"/>
        </w:rPr>
        <w:t>表</w:t>
      </w:r>
      <w:r w:rsidRPr="00100008">
        <w:rPr>
          <w:rFonts w:ascii="Times New Roman" w:hAnsi="Times New Roman" w:cs="Times New Roman" w:hint="eastAsia"/>
          <w:b/>
          <w:kern w:val="0"/>
          <w:sz w:val="24"/>
          <w:szCs w:val="24"/>
        </w:rPr>
        <w:t>12</w:t>
      </w:r>
      <w:r w:rsidRPr="00100008">
        <w:rPr>
          <w:rFonts w:ascii="Times New Roman" w:hAnsi="Times New Roman" w:cs="Times New Roman" w:hint="eastAsia"/>
          <w:b/>
          <w:kern w:val="0"/>
          <w:sz w:val="24"/>
          <w:szCs w:val="24"/>
        </w:rPr>
        <w:t>：公司最近三年及一期利润分析表</w:t>
      </w:r>
    </w:p>
    <w:p w:rsidR="00100008" w:rsidRPr="00B862E5" w:rsidRDefault="00100008" w:rsidP="00B862E5">
      <w:pPr>
        <w:autoSpaceDE w:val="0"/>
        <w:autoSpaceDN w:val="0"/>
        <w:adjustRightInd w:val="0"/>
        <w:ind w:firstLineChars="200" w:firstLine="422"/>
        <w:jc w:val="right"/>
        <w:rPr>
          <w:rFonts w:ascii="Times New Roman" w:hAnsi="Times New Roman" w:cs="Times New Roman"/>
          <w:b/>
          <w:kern w:val="0"/>
          <w:szCs w:val="21"/>
        </w:rPr>
      </w:pPr>
      <w:r w:rsidRPr="00B862E5">
        <w:rPr>
          <w:rFonts w:ascii="Times New Roman" w:hAnsi="Times New Roman" w:cs="Times New Roman" w:hint="eastAsia"/>
          <w:b/>
          <w:kern w:val="0"/>
          <w:szCs w:val="21"/>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000" w:firstRow="0" w:lastRow="0" w:firstColumn="0" w:lastColumn="0" w:noHBand="0" w:noVBand="0"/>
      </w:tblPr>
      <w:tblGrid>
        <w:gridCol w:w="1925"/>
        <w:gridCol w:w="1649"/>
        <w:gridCol w:w="1650"/>
        <w:gridCol w:w="1648"/>
        <w:gridCol w:w="1650"/>
      </w:tblGrid>
      <w:tr w:rsidR="00442D7C" w:rsidRPr="00100008" w:rsidTr="00B862E5">
        <w:trPr>
          <w:trHeight w:val="397"/>
          <w:jc w:val="center"/>
        </w:trPr>
        <w:tc>
          <w:tcPr>
            <w:tcW w:w="1129" w:type="pct"/>
            <w:vAlign w:val="center"/>
          </w:tcPr>
          <w:p w:rsidR="00442D7C" w:rsidRPr="00442D7C" w:rsidRDefault="00442D7C" w:rsidP="000949BF">
            <w:pPr>
              <w:widowControl/>
              <w:jc w:val="center"/>
              <w:textAlignment w:val="bottom"/>
              <w:rPr>
                <w:rFonts w:ascii="Times New Roman" w:hAnsi="Times New Roman" w:cs="Times New Roman"/>
                <w:b/>
                <w:color w:val="000000"/>
                <w:szCs w:val="21"/>
              </w:rPr>
            </w:pPr>
            <w:r w:rsidRPr="00442D7C">
              <w:rPr>
                <w:rFonts w:ascii="Times New Roman" w:hAnsi="Times New Roman" w:cs="Times New Roman"/>
                <w:b/>
                <w:color w:val="000000"/>
                <w:kern w:val="0"/>
                <w:szCs w:val="21"/>
              </w:rPr>
              <w:t>项目</w:t>
            </w:r>
          </w:p>
        </w:tc>
        <w:tc>
          <w:tcPr>
            <w:tcW w:w="967" w:type="pct"/>
            <w:vAlign w:val="center"/>
          </w:tcPr>
          <w:p w:rsidR="00442D7C" w:rsidRPr="00442D7C" w:rsidRDefault="00442D7C" w:rsidP="000949BF">
            <w:pPr>
              <w:jc w:val="center"/>
              <w:rPr>
                <w:rFonts w:ascii="Times New Roman" w:hAnsi="Times New Roman" w:cs="Times New Roman"/>
                <w:b/>
                <w:color w:val="000000"/>
                <w:szCs w:val="21"/>
              </w:rPr>
            </w:pPr>
            <w:r w:rsidRPr="00442D7C">
              <w:rPr>
                <w:rFonts w:ascii="Times New Roman" w:hAnsi="Times New Roman" w:cs="Times New Roman"/>
                <w:b/>
                <w:color w:val="000000"/>
                <w:kern w:val="0"/>
                <w:szCs w:val="21"/>
              </w:rPr>
              <w:t>2015</w:t>
            </w:r>
            <w:r w:rsidRPr="00442D7C">
              <w:rPr>
                <w:rFonts w:ascii="Times New Roman" w:hAnsi="Times New Roman" w:cs="Times New Roman"/>
                <w:b/>
                <w:color w:val="000000"/>
                <w:kern w:val="0"/>
                <w:szCs w:val="21"/>
              </w:rPr>
              <w:t>年</w:t>
            </w:r>
            <w:r w:rsidRPr="00442D7C">
              <w:rPr>
                <w:rFonts w:ascii="Times New Roman" w:hAnsi="Times New Roman" w:cs="Times New Roman"/>
                <w:b/>
                <w:color w:val="000000"/>
                <w:kern w:val="0"/>
                <w:szCs w:val="21"/>
              </w:rPr>
              <w:t>1-3</w:t>
            </w:r>
            <w:r w:rsidRPr="00442D7C">
              <w:rPr>
                <w:rFonts w:ascii="Times New Roman" w:hAnsi="Times New Roman" w:cs="Times New Roman"/>
                <w:b/>
                <w:color w:val="000000"/>
                <w:kern w:val="0"/>
                <w:szCs w:val="21"/>
              </w:rPr>
              <w:t>月</w:t>
            </w:r>
          </w:p>
        </w:tc>
        <w:tc>
          <w:tcPr>
            <w:tcW w:w="968" w:type="pct"/>
            <w:vAlign w:val="center"/>
          </w:tcPr>
          <w:p w:rsidR="00442D7C" w:rsidRPr="00442D7C" w:rsidRDefault="00442D7C" w:rsidP="000949BF">
            <w:pPr>
              <w:jc w:val="center"/>
              <w:rPr>
                <w:rFonts w:ascii="Times New Roman" w:hAnsi="Times New Roman" w:cs="Times New Roman"/>
                <w:b/>
                <w:color w:val="000000"/>
                <w:szCs w:val="21"/>
              </w:rPr>
            </w:pPr>
            <w:r w:rsidRPr="00442D7C">
              <w:rPr>
                <w:rFonts w:ascii="Times New Roman" w:hAnsi="Times New Roman" w:cs="Times New Roman"/>
                <w:b/>
                <w:color w:val="000000"/>
                <w:kern w:val="0"/>
                <w:szCs w:val="21"/>
              </w:rPr>
              <w:t>2014</w:t>
            </w:r>
            <w:r w:rsidRPr="00442D7C">
              <w:rPr>
                <w:rFonts w:ascii="Times New Roman" w:hAnsi="Times New Roman" w:cs="Times New Roman"/>
                <w:b/>
                <w:color w:val="000000"/>
                <w:kern w:val="0"/>
                <w:szCs w:val="21"/>
              </w:rPr>
              <w:t>年度</w:t>
            </w:r>
          </w:p>
        </w:tc>
        <w:tc>
          <w:tcPr>
            <w:tcW w:w="967" w:type="pct"/>
            <w:vAlign w:val="center"/>
          </w:tcPr>
          <w:p w:rsidR="00442D7C" w:rsidRPr="00442D7C" w:rsidRDefault="00442D7C" w:rsidP="000949BF">
            <w:pPr>
              <w:jc w:val="center"/>
              <w:rPr>
                <w:rFonts w:ascii="Times New Roman" w:hAnsi="Times New Roman" w:cs="Times New Roman"/>
                <w:b/>
                <w:color w:val="000000"/>
                <w:kern w:val="0"/>
                <w:szCs w:val="21"/>
              </w:rPr>
            </w:pPr>
            <w:r w:rsidRPr="00442D7C">
              <w:rPr>
                <w:rFonts w:ascii="Times New Roman" w:hAnsi="Times New Roman" w:cs="Times New Roman"/>
                <w:b/>
                <w:color w:val="000000"/>
                <w:kern w:val="0"/>
                <w:szCs w:val="21"/>
              </w:rPr>
              <w:t>2013</w:t>
            </w:r>
            <w:r w:rsidRPr="00442D7C">
              <w:rPr>
                <w:rFonts w:ascii="Times New Roman" w:hAnsi="Times New Roman" w:cs="Times New Roman"/>
                <w:b/>
                <w:color w:val="000000"/>
                <w:kern w:val="0"/>
                <w:szCs w:val="21"/>
              </w:rPr>
              <w:t>年度</w:t>
            </w:r>
          </w:p>
        </w:tc>
        <w:tc>
          <w:tcPr>
            <w:tcW w:w="968" w:type="pct"/>
            <w:vAlign w:val="center"/>
          </w:tcPr>
          <w:p w:rsidR="00442D7C" w:rsidRPr="00442D7C" w:rsidRDefault="00442D7C" w:rsidP="000949BF">
            <w:pPr>
              <w:jc w:val="center"/>
              <w:rPr>
                <w:rFonts w:ascii="Times New Roman" w:hAnsi="Times New Roman" w:cs="Times New Roman"/>
                <w:b/>
                <w:color w:val="000000"/>
                <w:kern w:val="0"/>
                <w:szCs w:val="21"/>
              </w:rPr>
            </w:pPr>
            <w:r w:rsidRPr="00442D7C">
              <w:rPr>
                <w:rFonts w:ascii="Times New Roman" w:hAnsi="Times New Roman" w:cs="Times New Roman"/>
                <w:b/>
                <w:color w:val="000000"/>
                <w:kern w:val="0"/>
                <w:szCs w:val="21"/>
              </w:rPr>
              <w:t>2012</w:t>
            </w:r>
            <w:r w:rsidRPr="00442D7C">
              <w:rPr>
                <w:rFonts w:ascii="Times New Roman" w:hAnsi="Times New Roman" w:cs="Times New Roman"/>
                <w:b/>
                <w:color w:val="000000"/>
                <w:kern w:val="0"/>
                <w:szCs w:val="21"/>
              </w:rPr>
              <w:t>年度</w:t>
            </w:r>
          </w:p>
        </w:tc>
      </w:tr>
      <w:tr w:rsidR="00442D7C" w:rsidRPr="00100008" w:rsidTr="00B862E5">
        <w:trPr>
          <w:trHeight w:val="397"/>
          <w:jc w:val="center"/>
        </w:trPr>
        <w:tc>
          <w:tcPr>
            <w:tcW w:w="1129" w:type="pct"/>
            <w:vAlign w:val="center"/>
          </w:tcPr>
          <w:p w:rsidR="00442D7C" w:rsidRPr="00100008" w:rsidRDefault="00442D7C" w:rsidP="00100008">
            <w:pPr>
              <w:widowControl/>
              <w:jc w:val="left"/>
              <w:textAlignment w:val="bottom"/>
              <w:rPr>
                <w:rFonts w:ascii="Times New Roman" w:eastAsia="宋体" w:hAnsi="Times New Roman" w:cs="Times New Roman"/>
                <w:color w:val="000000"/>
                <w:szCs w:val="21"/>
              </w:rPr>
            </w:pPr>
            <w:r w:rsidRPr="00100008">
              <w:rPr>
                <w:rFonts w:ascii="Times New Roman" w:eastAsia="宋体" w:hAnsi="Times New Roman" w:cs="Times New Roman"/>
                <w:color w:val="000000"/>
                <w:kern w:val="0"/>
                <w:szCs w:val="21"/>
              </w:rPr>
              <w:t>营业收入</w:t>
            </w:r>
          </w:p>
        </w:tc>
        <w:tc>
          <w:tcPr>
            <w:tcW w:w="967" w:type="pct"/>
            <w:vAlign w:val="center"/>
          </w:tcPr>
          <w:p w:rsidR="00442D7C" w:rsidRPr="00100008" w:rsidRDefault="00442D7C" w:rsidP="00442D7C">
            <w:pPr>
              <w:widowControl/>
              <w:jc w:val="right"/>
              <w:textAlignment w:val="bottom"/>
              <w:rPr>
                <w:rFonts w:ascii="Times New Roman" w:eastAsia="Arial Narrow" w:hAnsi="Times New Roman" w:cs="Times New Roman"/>
                <w:color w:val="000000"/>
                <w:szCs w:val="21"/>
              </w:rPr>
            </w:pPr>
            <w:r w:rsidRPr="00100008">
              <w:rPr>
                <w:rFonts w:ascii="Times New Roman" w:eastAsia="Arial Narrow" w:hAnsi="Times New Roman" w:cs="Times New Roman"/>
                <w:color w:val="000000"/>
                <w:szCs w:val="21"/>
              </w:rPr>
              <w:t>127,604.63</w:t>
            </w:r>
          </w:p>
        </w:tc>
        <w:tc>
          <w:tcPr>
            <w:tcW w:w="968" w:type="pct"/>
            <w:vAlign w:val="center"/>
          </w:tcPr>
          <w:p w:rsidR="00442D7C" w:rsidRPr="00100008" w:rsidRDefault="00442D7C" w:rsidP="00442D7C">
            <w:pPr>
              <w:widowControl/>
              <w:jc w:val="right"/>
              <w:textAlignment w:val="bottom"/>
              <w:rPr>
                <w:rFonts w:ascii="Times New Roman" w:eastAsia="Arial Narrow" w:hAnsi="Times New Roman" w:cs="Times New Roman"/>
                <w:color w:val="000000"/>
                <w:kern w:val="0"/>
                <w:szCs w:val="21"/>
              </w:rPr>
            </w:pPr>
            <w:r w:rsidRPr="00100008">
              <w:rPr>
                <w:rFonts w:ascii="Times New Roman" w:eastAsia="Arial Narrow" w:hAnsi="Times New Roman" w:cs="Times New Roman"/>
                <w:color w:val="000000"/>
                <w:kern w:val="0"/>
                <w:szCs w:val="21"/>
              </w:rPr>
              <w:t>2,203,588.57</w:t>
            </w:r>
          </w:p>
        </w:tc>
        <w:tc>
          <w:tcPr>
            <w:tcW w:w="967" w:type="pct"/>
            <w:vAlign w:val="center"/>
          </w:tcPr>
          <w:p w:rsidR="00442D7C" w:rsidRPr="00100008" w:rsidRDefault="00442D7C" w:rsidP="00442D7C">
            <w:pPr>
              <w:widowControl/>
              <w:jc w:val="right"/>
              <w:textAlignment w:val="bottom"/>
              <w:rPr>
                <w:rFonts w:ascii="Times New Roman" w:eastAsia="Arial Narrow" w:hAnsi="Times New Roman" w:cs="Times New Roman"/>
                <w:color w:val="000000"/>
                <w:kern w:val="0"/>
                <w:szCs w:val="21"/>
              </w:rPr>
            </w:pPr>
            <w:r w:rsidRPr="00100008">
              <w:rPr>
                <w:rFonts w:ascii="Times New Roman" w:eastAsia="Arial Narrow" w:hAnsi="Times New Roman" w:cs="Times New Roman"/>
                <w:color w:val="000000"/>
                <w:kern w:val="0"/>
                <w:szCs w:val="21"/>
              </w:rPr>
              <w:t>1,988,257.20</w:t>
            </w:r>
          </w:p>
        </w:tc>
        <w:tc>
          <w:tcPr>
            <w:tcW w:w="968" w:type="pct"/>
            <w:vAlign w:val="center"/>
          </w:tcPr>
          <w:p w:rsidR="00442D7C" w:rsidRPr="00100008" w:rsidRDefault="00442D7C" w:rsidP="00442D7C">
            <w:pPr>
              <w:widowControl/>
              <w:jc w:val="right"/>
              <w:textAlignment w:val="bottom"/>
              <w:rPr>
                <w:rFonts w:ascii="Times New Roman" w:eastAsia="Arial Narrow" w:hAnsi="Times New Roman" w:cs="Times New Roman"/>
                <w:color w:val="000000"/>
                <w:kern w:val="0"/>
                <w:szCs w:val="21"/>
              </w:rPr>
            </w:pPr>
            <w:r w:rsidRPr="00100008">
              <w:rPr>
                <w:rFonts w:ascii="Times New Roman" w:eastAsia="Arial Narrow" w:hAnsi="Times New Roman" w:cs="Times New Roman"/>
                <w:color w:val="000000"/>
                <w:kern w:val="0"/>
                <w:szCs w:val="21"/>
              </w:rPr>
              <w:t>1,723,386.81</w:t>
            </w:r>
          </w:p>
        </w:tc>
      </w:tr>
      <w:tr w:rsidR="00442D7C" w:rsidRPr="00100008" w:rsidTr="00B862E5">
        <w:trPr>
          <w:trHeight w:val="397"/>
          <w:jc w:val="center"/>
        </w:trPr>
        <w:tc>
          <w:tcPr>
            <w:tcW w:w="1129" w:type="pct"/>
            <w:vAlign w:val="center"/>
          </w:tcPr>
          <w:p w:rsidR="00442D7C" w:rsidRPr="00100008" w:rsidRDefault="00442D7C" w:rsidP="00100008">
            <w:pPr>
              <w:widowControl/>
              <w:jc w:val="left"/>
              <w:textAlignment w:val="bottom"/>
              <w:rPr>
                <w:rFonts w:ascii="Times New Roman" w:eastAsia="宋体" w:hAnsi="Times New Roman" w:cs="Times New Roman"/>
                <w:color w:val="000000"/>
                <w:szCs w:val="21"/>
              </w:rPr>
            </w:pPr>
            <w:r w:rsidRPr="00100008">
              <w:rPr>
                <w:rFonts w:ascii="Times New Roman" w:eastAsia="宋体" w:hAnsi="Times New Roman" w:cs="Times New Roman"/>
                <w:color w:val="000000"/>
                <w:kern w:val="0"/>
                <w:szCs w:val="21"/>
              </w:rPr>
              <w:t>营业利润</w:t>
            </w:r>
          </w:p>
        </w:tc>
        <w:tc>
          <w:tcPr>
            <w:tcW w:w="967" w:type="pct"/>
            <w:vAlign w:val="center"/>
          </w:tcPr>
          <w:p w:rsidR="00442D7C" w:rsidRPr="00100008" w:rsidRDefault="00442D7C" w:rsidP="00442D7C">
            <w:pPr>
              <w:widowControl/>
              <w:jc w:val="right"/>
              <w:textAlignment w:val="bottom"/>
              <w:rPr>
                <w:rFonts w:ascii="Times New Roman" w:eastAsia="宋体" w:hAnsi="Times New Roman" w:cs="Times New Roman"/>
                <w:color w:val="000000"/>
                <w:szCs w:val="21"/>
              </w:rPr>
            </w:pPr>
            <w:r w:rsidRPr="00100008">
              <w:rPr>
                <w:rFonts w:ascii="Times New Roman" w:eastAsia="宋体" w:hAnsi="Times New Roman" w:cs="Times New Roman"/>
                <w:color w:val="000000"/>
                <w:szCs w:val="21"/>
              </w:rPr>
              <w:t>107</w:t>
            </w:r>
            <w:r w:rsidRPr="00100008">
              <w:rPr>
                <w:rFonts w:ascii="Times New Roman" w:eastAsia="宋体" w:hAnsi="Times New Roman" w:cs="Times New Roman" w:hint="eastAsia"/>
                <w:color w:val="000000"/>
                <w:szCs w:val="21"/>
              </w:rPr>
              <w:t>,</w:t>
            </w:r>
            <w:r w:rsidRPr="00100008">
              <w:rPr>
                <w:rFonts w:ascii="Times New Roman" w:eastAsia="宋体" w:hAnsi="Times New Roman" w:cs="Times New Roman"/>
                <w:color w:val="000000"/>
                <w:szCs w:val="21"/>
              </w:rPr>
              <w:t>619.76</w:t>
            </w:r>
          </w:p>
        </w:tc>
        <w:tc>
          <w:tcPr>
            <w:tcW w:w="968" w:type="pct"/>
            <w:vAlign w:val="center"/>
          </w:tcPr>
          <w:p w:rsidR="00442D7C" w:rsidRPr="00100008" w:rsidRDefault="00442D7C" w:rsidP="00442D7C">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hint="eastAsia"/>
                <w:color w:val="000000"/>
                <w:szCs w:val="21"/>
              </w:rPr>
              <w:t>411,624.31</w:t>
            </w:r>
          </w:p>
        </w:tc>
        <w:tc>
          <w:tcPr>
            <w:tcW w:w="967" w:type="pct"/>
            <w:vAlign w:val="center"/>
          </w:tcPr>
          <w:p w:rsidR="00442D7C" w:rsidRPr="00100008" w:rsidRDefault="00442D7C" w:rsidP="00442D7C">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color w:val="000000"/>
                <w:kern w:val="0"/>
                <w:szCs w:val="21"/>
              </w:rPr>
              <w:t>468,675.21</w:t>
            </w:r>
          </w:p>
        </w:tc>
        <w:tc>
          <w:tcPr>
            <w:tcW w:w="968" w:type="pct"/>
            <w:vAlign w:val="center"/>
          </w:tcPr>
          <w:p w:rsidR="00442D7C" w:rsidRPr="00100008" w:rsidRDefault="00442D7C" w:rsidP="00442D7C">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color w:val="000000"/>
                <w:kern w:val="0"/>
                <w:szCs w:val="21"/>
              </w:rPr>
              <w:t>357,222.11</w:t>
            </w:r>
          </w:p>
        </w:tc>
      </w:tr>
      <w:tr w:rsidR="00442D7C" w:rsidRPr="00100008" w:rsidTr="00B862E5">
        <w:trPr>
          <w:trHeight w:val="397"/>
          <w:jc w:val="center"/>
        </w:trPr>
        <w:tc>
          <w:tcPr>
            <w:tcW w:w="1129" w:type="pct"/>
            <w:vAlign w:val="center"/>
          </w:tcPr>
          <w:p w:rsidR="00442D7C" w:rsidRPr="00100008" w:rsidRDefault="00442D7C" w:rsidP="00100008">
            <w:pPr>
              <w:widowControl/>
              <w:jc w:val="left"/>
              <w:textAlignment w:val="bottom"/>
              <w:rPr>
                <w:rFonts w:ascii="Times New Roman" w:eastAsia="宋体" w:hAnsi="Times New Roman" w:cs="Times New Roman"/>
                <w:color w:val="000000"/>
                <w:szCs w:val="21"/>
              </w:rPr>
            </w:pPr>
            <w:r w:rsidRPr="00100008">
              <w:rPr>
                <w:rFonts w:ascii="Times New Roman" w:eastAsia="宋体" w:hAnsi="Times New Roman" w:cs="Times New Roman"/>
                <w:color w:val="000000"/>
                <w:kern w:val="0"/>
                <w:szCs w:val="21"/>
              </w:rPr>
              <w:t>利润总额</w:t>
            </w:r>
          </w:p>
        </w:tc>
        <w:tc>
          <w:tcPr>
            <w:tcW w:w="967" w:type="pct"/>
            <w:vAlign w:val="center"/>
          </w:tcPr>
          <w:p w:rsidR="00442D7C" w:rsidRPr="00100008" w:rsidRDefault="00442D7C" w:rsidP="00442D7C">
            <w:pPr>
              <w:widowControl/>
              <w:jc w:val="right"/>
              <w:textAlignment w:val="bottom"/>
              <w:rPr>
                <w:rFonts w:ascii="Times New Roman" w:eastAsia="宋体" w:hAnsi="Times New Roman" w:cs="Times New Roman"/>
                <w:color w:val="000000"/>
                <w:szCs w:val="21"/>
              </w:rPr>
            </w:pPr>
            <w:r w:rsidRPr="00100008">
              <w:rPr>
                <w:rFonts w:ascii="Times New Roman" w:eastAsia="宋体" w:hAnsi="Times New Roman" w:cs="Times New Roman"/>
                <w:color w:val="000000"/>
                <w:szCs w:val="21"/>
              </w:rPr>
              <w:t>108</w:t>
            </w:r>
            <w:r w:rsidRPr="00100008">
              <w:rPr>
                <w:rFonts w:ascii="Times New Roman" w:eastAsia="宋体" w:hAnsi="Times New Roman" w:cs="Times New Roman" w:hint="eastAsia"/>
                <w:color w:val="000000"/>
                <w:szCs w:val="21"/>
              </w:rPr>
              <w:t>,</w:t>
            </w:r>
            <w:r w:rsidRPr="00100008">
              <w:rPr>
                <w:rFonts w:ascii="Times New Roman" w:eastAsia="宋体" w:hAnsi="Times New Roman" w:cs="Times New Roman"/>
                <w:color w:val="000000"/>
                <w:szCs w:val="21"/>
              </w:rPr>
              <w:t>339.53</w:t>
            </w:r>
          </w:p>
        </w:tc>
        <w:tc>
          <w:tcPr>
            <w:tcW w:w="968" w:type="pct"/>
            <w:vAlign w:val="center"/>
          </w:tcPr>
          <w:p w:rsidR="00442D7C" w:rsidRPr="00100008" w:rsidRDefault="00442D7C" w:rsidP="00442D7C">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color w:val="000000"/>
                <w:kern w:val="0"/>
                <w:szCs w:val="21"/>
              </w:rPr>
              <w:t>421,912.74</w:t>
            </w:r>
          </w:p>
        </w:tc>
        <w:tc>
          <w:tcPr>
            <w:tcW w:w="967" w:type="pct"/>
            <w:vAlign w:val="center"/>
          </w:tcPr>
          <w:p w:rsidR="00442D7C" w:rsidRPr="00100008" w:rsidRDefault="00442D7C" w:rsidP="00442D7C">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color w:val="000000"/>
                <w:kern w:val="0"/>
                <w:szCs w:val="21"/>
              </w:rPr>
              <w:t>471,408.11</w:t>
            </w:r>
          </w:p>
        </w:tc>
        <w:tc>
          <w:tcPr>
            <w:tcW w:w="968" w:type="pct"/>
            <w:vAlign w:val="center"/>
          </w:tcPr>
          <w:p w:rsidR="00442D7C" w:rsidRPr="00100008" w:rsidRDefault="00442D7C" w:rsidP="00442D7C">
            <w:pPr>
              <w:widowControl/>
              <w:jc w:val="right"/>
              <w:textAlignment w:val="bottom"/>
              <w:rPr>
                <w:rFonts w:ascii="Times New Roman" w:eastAsia="宋体" w:hAnsi="Times New Roman" w:cs="Times New Roman"/>
                <w:color w:val="000000"/>
                <w:kern w:val="0"/>
                <w:szCs w:val="21"/>
              </w:rPr>
            </w:pPr>
            <w:r w:rsidRPr="00100008">
              <w:rPr>
                <w:rFonts w:ascii="Times New Roman" w:eastAsia="宋体" w:hAnsi="Times New Roman" w:cs="Times New Roman"/>
                <w:color w:val="000000"/>
                <w:kern w:val="0"/>
                <w:szCs w:val="21"/>
              </w:rPr>
              <w:t>366,348.84</w:t>
            </w:r>
          </w:p>
        </w:tc>
      </w:tr>
      <w:tr w:rsidR="005C283A" w:rsidRPr="00100008" w:rsidTr="00B862E5">
        <w:trPr>
          <w:trHeight w:val="397"/>
          <w:jc w:val="center"/>
        </w:trPr>
        <w:tc>
          <w:tcPr>
            <w:tcW w:w="1129" w:type="pct"/>
            <w:vAlign w:val="center"/>
          </w:tcPr>
          <w:p w:rsidR="005C283A" w:rsidRPr="00100008" w:rsidRDefault="005C283A" w:rsidP="00100008">
            <w:pPr>
              <w:widowControl/>
              <w:jc w:val="left"/>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归属于母公司所有者的净利润</w:t>
            </w:r>
          </w:p>
        </w:tc>
        <w:tc>
          <w:tcPr>
            <w:tcW w:w="967" w:type="pct"/>
            <w:vAlign w:val="center"/>
          </w:tcPr>
          <w:p w:rsidR="005C283A" w:rsidRPr="005C283A" w:rsidRDefault="005C283A" w:rsidP="005C283A">
            <w:pPr>
              <w:widowControl/>
              <w:jc w:val="right"/>
              <w:textAlignment w:val="bottom"/>
              <w:rPr>
                <w:rFonts w:ascii="Times New Roman" w:eastAsia="宋体" w:hAnsi="Times New Roman" w:cs="Times New Roman"/>
                <w:color w:val="000000"/>
                <w:szCs w:val="21"/>
              </w:rPr>
            </w:pPr>
            <w:r w:rsidRPr="005C283A">
              <w:rPr>
                <w:rFonts w:ascii="Times New Roman" w:eastAsia="宋体" w:hAnsi="Times New Roman" w:cs="Times New Roman" w:hint="eastAsia"/>
                <w:color w:val="000000"/>
                <w:szCs w:val="21"/>
              </w:rPr>
              <w:t>79,757.92</w:t>
            </w:r>
          </w:p>
        </w:tc>
        <w:tc>
          <w:tcPr>
            <w:tcW w:w="968" w:type="pct"/>
            <w:vAlign w:val="center"/>
          </w:tcPr>
          <w:p w:rsidR="005C283A" w:rsidRPr="005C283A" w:rsidRDefault="005C283A" w:rsidP="005C283A">
            <w:pPr>
              <w:widowControl/>
              <w:jc w:val="right"/>
              <w:textAlignment w:val="bottom"/>
              <w:rPr>
                <w:rFonts w:ascii="Times New Roman" w:eastAsia="宋体" w:hAnsi="Times New Roman" w:cs="Times New Roman"/>
                <w:color w:val="000000"/>
                <w:szCs w:val="21"/>
              </w:rPr>
            </w:pPr>
            <w:r w:rsidRPr="005C283A">
              <w:rPr>
                <w:rFonts w:ascii="Times New Roman" w:eastAsia="宋体" w:hAnsi="Times New Roman" w:cs="Times New Roman" w:hint="eastAsia"/>
                <w:color w:val="000000"/>
                <w:szCs w:val="21"/>
              </w:rPr>
              <w:t>292,745.52</w:t>
            </w:r>
          </w:p>
        </w:tc>
        <w:tc>
          <w:tcPr>
            <w:tcW w:w="967" w:type="pct"/>
            <w:vAlign w:val="center"/>
          </w:tcPr>
          <w:p w:rsidR="005C283A" w:rsidRPr="005C283A" w:rsidRDefault="005C283A" w:rsidP="005C283A">
            <w:pPr>
              <w:widowControl/>
              <w:jc w:val="right"/>
              <w:textAlignment w:val="bottom"/>
              <w:rPr>
                <w:rFonts w:ascii="Times New Roman" w:eastAsia="宋体" w:hAnsi="Times New Roman" w:cs="Times New Roman"/>
                <w:color w:val="000000"/>
                <w:szCs w:val="21"/>
              </w:rPr>
            </w:pPr>
            <w:r w:rsidRPr="005C283A">
              <w:rPr>
                <w:rFonts w:ascii="Times New Roman" w:eastAsia="宋体" w:hAnsi="Times New Roman" w:cs="Times New Roman" w:hint="eastAsia"/>
                <w:color w:val="000000"/>
                <w:szCs w:val="21"/>
              </w:rPr>
              <w:t>289,151.73</w:t>
            </w:r>
          </w:p>
        </w:tc>
        <w:tc>
          <w:tcPr>
            <w:tcW w:w="968" w:type="pct"/>
            <w:vAlign w:val="center"/>
          </w:tcPr>
          <w:p w:rsidR="005C283A" w:rsidRPr="005C283A" w:rsidRDefault="005C283A" w:rsidP="005C283A">
            <w:pPr>
              <w:widowControl/>
              <w:jc w:val="right"/>
              <w:textAlignment w:val="bottom"/>
              <w:rPr>
                <w:rFonts w:ascii="Times New Roman" w:eastAsia="宋体" w:hAnsi="Times New Roman" w:cs="Times New Roman"/>
                <w:color w:val="000000"/>
                <w:szCs w:val="21"/>
              </w:rPr>
            </w:pPr>
            <w:r w:rsidRPr="005C283A">
              <w:rPr>
                <w:rFonts w:ascii="Times New Roman" w:eastAsia="宋体" w:hAnsi="Times New Roman" w:cs="Times New Roman" w:hint="eastAsia"/>
                <w:color w:val="000000"/>
                <w:szCs w:val="21"/>
              </w:rPr>
              <w:t>226,919.78</w:t>
            </w:r>
          </w:p>
        </w:tc>
      </w:tr>
    </w:tbl>
    <w:p w:rsidR="00100008" w:rsidRDefault="00442D7C" w:rsidP="00442D7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442D7C">
        <w:rPr>
          <w:rFonts w:ascii="Times New Roman" w:hAnsi="Times New Roman" w:cs="Times New Roman" w:hint="eastAsia"/>
          <w:kern w:val="0"/>
          <w:sz w:val="24"/>
          <w:szCs w:val="24"/>
        </w:rPr>
        <w:t>公司最近三年及一期业务发展迅速，营业收入快速增长。</w:t>
      </w:r>
      <w:r w:rsidRPr="00442D7C">
        <w:rPr>
          <w:rFonts w:ascii="Times New Roman" w:hAnsi="Times New Roman" w:cs="Times New Roman" w:hint="eastAsia"/>
          <w:kern w:val="0"/>
          <w:sz w:val="24"/>
          <w:szCs w:val="24"/>
        </w:rPr>
        <w:t>2012-2014</w:t>
      </w:r>
      <w:r w:rsidRPr="00442D7C">
        <w:rPr>
          <w:rFonts w:ascii="Times New Roman" w:hAnsi="Times New Roman" w:cs="Times New Roman" w:hint="eastAsia"/>
          <w:kern w:val="0"/>
          <w:sz w:val="24"/>
          <w:szCs w:val="24"/>
        </w:rPr>
        <w:t>年度以及</w:t>
      </w:r>
      <w:r w:rsidRPr="00442D7C">
        <w:rPr>
          <w:rFonts w:ascii="Times New Roman" w:hAnsi="Times New Roman" w:cs="Times New Roman" w:hint="eastAsia"/>
          <w:kern w:val="0"/>
          <w:sz w:val="24"/>
          <w:szCs w:val="24"/>
        </w:rPr>
        <w:t>2015</w:t>
      </w:r>
      <w:r w:rsidRPr="00442D7C">
        <w:rPr>
          <w:rFonts w:ascii="Times New Roman" w:hAnsi="Times New Roman" w:cs="Times New Roman" w:hint="eastAsia"/>
          <w:kern w:val="0"/>
          <w:sz w:val="24"/>
          <w:szCs w:val="24"/>
        </w:rPr>
        <w:t>年</w:t>
      </w:r>
      <w:r w:rsidRPr="00442D7C">
        <w:rPr>
          <w:rFonts w:ascii="Times New Roman" w:hAnsi="Times New Roman" w:cs="Times New Roman" w:hint="eastAsia"/>
          <w:kern w:val="0"/>
          <w:sz w:val="24"/>
          <w:szCs w:val="24"/>
        </w:rPr>
        <w:t>1-3</w:t>
      </w:r>
      <w:r w:rsidRPr="00442D7C">
        <w:rPr>
          <w:rFonts w:ascii="Times New Roman" w:hAnsi="Times New Roman" w:cs="Times New Roman" w:hint="eastAsia"/>
          <w:kern w:val="0"/>
          <w:sz w:val="24"/>
          <w:szCs w:val="24"/>
        </w:rPr>
        <w:t>月，营业收入分别为</w:t>
      </w:r>
      <w:r w:rsidRPr="00442D7C">
        <w:rPr>
          <w:rFonts w:ascii="Times New Roman" w:hAnsi="Times New Roman" w:cs="Times New Roman" w:hint="eastAsia"/>
          <w:kern w:val="0"/>
          <w:sz w:val="24"/>
          <w:szCs w:val="24"/>
        </w:rPr>
        <w:t>1,723,386.81</w:t>
      </w:r>
      <w:r w:rsidRPr="00442D7C">
        <w:rPr>
          <w:rFonts w:ascii="Times New Roman" w:hAnsi="Times New Roman" w:cs="Times New Roman" w:hint="eastAsia"/>
          <w:kern w:val="0"/>
          <w:sz w:val="24"/>
          <w:szCs w:val="24"/>
        </w:rPr>
        <w:t>万元、</w:t>
      </w:r>
      <w:r w:rsidRPr="00442D7C">
        <w:rPr>
          <w:rFonts w:ascii="Times New Roman" w:hAnsi="Times New Roman" w:cs="Times New Roman" w:hint="eastAsia"/>
          <w:kern w:val="0"/>
          <w:sz w:val="24"/>
          <w:szCs w:val="24"/>
        </w:rPr>
        <w:t>1,988,257.20</w:t>
      </w:r>
      <w:r w:rsidRPr="00442D7C">
        <w:rPr>
          <w:rFonts w:ascii="Times New Roman" w:hAnsi="Times New Roman" w:cs="Times New Roman" w:hint="eastAsia"/>
          <w:kern w:val="0"/>
          <w:sz w:val="24"/>
          <w:szCs w:val="24"/>
        </w:rPr>
        <w:t>万元、</w:t>
      </w:r>
      <w:r w:rsidRPr="00442D7C">
        <w:rPr>
          <w:rFonts w:ascii="Times New Roman" w:hAnsi="Times New Roman" w:cs="Times New Roman" w:hint="eastAsia"/>
          <w:kern w:val="0"/>
          <w:sz w:val="24"/>
          <w:szCs w:val="24"/>
        </w:rPr>
        <w:t>2,203,588.57</w:t>
      </w:r>
      <w:r w:rsidRPr="00442D7C">
        <w:rPr>
          <w:rFonts w:ascii="Times New Roman" w:hAnsi="Times New Roman" w:cs="Times New Roman" w:hint="eastAsia"/>
          <w:kern w:val="0"/>
          <w:sz w:val="24"/>
          <w:szCs w:val="24"/>
        </w:rPr>
        <w:t>万元和</w:t>
      </w:r>
      <w:r w:rsidRPr="00442D7C">
        <w:rPr>
          <w:rFonts w:ascii="Times New Roman" w:hAnsi="Times New Roman" w:cs="Times New Roman" w:hint="eastAsia"/>
          <w:kern w:val="0"/>
          <w:sz w:val="24"/>
          <w:szCs w:val="24"/>
        </w:rPr>
        <w:t>127,604.63</w:t>
      </w:r>
      <w:r w:rsidRPr="00442D7C">
        <w:rPr>
          <w:rFonts w:ascii="Times New Roman" w:hAnsi="Times New Roman" w:cs="Times New Roman" w:hint="eastAsia"/>
          <w:kern w:val="0"/>
          <w:sz w:val="24"/>
          <w:szCs w:val="24"/>
        </w:rPr>
        <w:t>万元。</w:t>
      </w:r>
      <w:r w:rsidRPr="00442D7C">
        <w:rPr>
          <w:rFonts w:ascii="Times New Roman" w:hAnsi="Times New Roman" w:cs="Times New Roman" w:hint="eastAsia"/>
          <w:kern w:val="0"/>
          <w:sz w:val="24"/>
          <w:szCs w:val="24"/>
        </w:rPr>
        <w:t>2013</w:t>
      </w:r>
      <w:r w:rsidRPr="00442D7C">
        <w:rPr>
          <w:rFonts w:ascii="Times New Roman" w:hAnsi="Times New Roman" w:cs="Times New Roman" w:hint="eastAsia"/>
          <w:kern w:val="0"/>
          <w:sz w:val="24"/>
          <w:szCs w:val="24"/>
        </w:rPr>
        <w:t>年度营业收入较</w:t>
      </w:r>
      <w:r w:rsidRPr="00442D7C">
        <w:rPr>
          <w:rFonts w:ascii="Times New Roman" w:hAnsi="Times New Roman" w:cs="Times New Roman" w:hint="eastAsia"/>
          <w:kern w:val="0"/>
          <w:sz w:val="24"/>
          <w:szCs w:val="24"/>
        </w:rPr>
        <w:t>2012</w:t>
      </w:r>
      <w:r w:rsidRPr="00442D7C">
        <w:rPr>
          <w:rFonts w:ascii="Times New Roman" w:hAnsi="Times New Roman" w:cs="Times New Roman" w:hint="eastAsia"/>
          <w:kern w:val="0"/>
          <w:sz w:val="24"/>
          <w:szCs w:val="24"/>
        </w:rPr>
        <w:t>年度增长</w:t>
      </w:r>
      <w:r w:rsidRPr="00442D7C">
        <w:rPr>
          <w:rFonts w:ascii="Times New Roman" w:hAnsi="Times New Roman" w:cs="Times New Roman" w:hint="eastAsia"/>
          <w:kern w:val="0"/>
          <w:sz w:val="24"/>
          <w:szCs w:val="24"/>
        </w:rPr>
        <w:t>15.37%</w:t>
      </w:r>
      <w:r w:rsidRPr="00442D7C">
        <w:rPr>
          <w:rFonts w:ascii="Times New Roman" w:hAnsi="Times New Roman" w:cs="Times New Roman" w:hint="eastAsia"/>
          <w:kern w:val="0"/>
          <w:sz w:val="24"/>
          <w:szCs w:val="24"/>
        </w:rPr>
        <w:t>，</w:t>
      </w:r>
      <w:r w:rsidRPr="00442D7C">
        <w:rPr>
          <w:rFonts w:ascii="Times New Roman" w:hAnsi="Times New Roman" w:cs="Times New Roman" w:hint="eastAsia"/>
          <w:kern w:val="0"/>
          <w:sz w:val="24"/>
          <w:szCs w:val="24"/>
        </w:rPr>
        <w:t>2014</w:t>
      </w:r>
      <w:r w:rsidRPr="00442D7C">
        <w:rPr>
          <w:rFonts w:ascii="Times New Roman" w:hAnsi="Times New Roman" w:cs="Times New Roman" w:hint="eastAsia"/>
          <w:kern w:val="0"/>
          <w:sz w:val="24"/>
          <w:szCs w:val="24"/>
        </w:rPr>
        <w:t>年度营业收入较</w:t>
      </w:r>
      <w:r w:rsidRPr="00442D7C">
        <w:rPr>
          <w:rFonts w:ascii="Times New Roman" w:hAnsi="Times New Roman" w:cs="Times New Roman" w:hint="eastAsia"/>
          <w:kern w:val="0"/>
          <w:sz w:val="24"/>
          <w:szCs w:val="24"/>
        </w:rPr>
        <w:t>2013</w:t>
      </w:r>
      <w:r w:rsidRPr="00442D7C">
        <w:rPr>
          <w:rFonts w:ascii="Times New Roman" w:hAnsi="Times New Roman" w:cs="Times New Roman" w:hint="eastAsia"/>
          <w:kern w:val="0"/>
          <w:sz w:val="24"/>
          <w:szCs w:val="24"/>
        </w:rPr>
        <w:t>年度增长</w:t>
      </w:r>
      <w:r w:rsidRPr="00442D7C">
        <w:rPr>
          <w:rFonts w:ascii="Times New Roman" w:hAnsi="Times New Roman" w:cs="Times New Roman" w:hint="eastAsia"/>
          <w:kern w:val="0"/>
          <w:sz w:val="24"/>
          <w:szCs w:val="24"/>
        </w:rPr>
        <w:t>10.83%</w:t>
      </w:r>
      <w:r w:rsidRPr="00442D7C">
        <w:rPr>
          <w:rFonts w:ascii="Times New Roman" w:hAnsi="Times New Roman" w:cs="Times New Roman" w:hint="eastAsia"/>
          <w:kern w:val="0"/>
          <w:sz w:val="24"/>
          <w:szCs w:val="24"/>
        </w:rPr>
        <w:t>，主要原因是</w:t>
      </w:r>
      <w:r w:rsidR="00B07C97">
        <w:rPr>
          <w:rFonts w:ascii="Times New Roman" w:hAnsi="Times New Roman" w:cs="Times New Roman" w:hint="eastAsia"/>
          <w:kern w:val="0"/>
          <w:sz w:val="24"/>
          <w:szCs w:val="24"/>
        </w:rPr>
        <w:t>公司</w:t>
      </w:r>
      <w:r w:rsidRPr="00442D7C">
        <w:rPr>
          <w:rFonts w:ascii="Times New Roman" w:hAnsi="Times New Roman" w:cs="Times New Roman" w:hint="eastAsia"/>
          <w:kern w:val="0"/>
          <w:sz w:val="24"/>
          <w:szCs w:val="24"/>
        </w:rPr>
        <w:t>开发项目逐</w:t>
      </w:r>
      <w:r>
        <w:rPr>
          <w:rFonts w:ascii="Times New Roman" w:hAnsi="Times New Roman" w:cs="Times New Roman" w:hint="eastAsia"/>
          <w:kern w:val="0"/>
          <w:sz w:val="24"/>
          <w:szCs w:val="24"/>
        </w:rPr>
        <w:t>年增加，营业收入</w:t>
      </w:r>
      <w:r w:rsidR="00B07C97">
        <w:rPr>
          <w:rFonts w:ascii="Times New Roman" w:hAnsi="Times New Roman" w:cs="Times New Roman" w:hint="eastAsia"/>
          <w:kern w:val="0"/>
          <w:sz w:val="24"/>
          <w:szCs w:val="24"/>
        </w:rPr>
        <w:t>稳</w:t>
      </w:r>
      <w:r w:rsidR="00B07C97">
        <w:rPr>
          <w:rFonts w:ascii="Times New Roman" w:hAnsi="Times New Roman" w:cs="Times New Roman" w:hint="eastAsia"/>
          <w:kern w:val="0"/>
          <w:sz w:val="24"/>
          <w:szCs w:val="24"/>
        </w:rPr>
        <w:lastRenderedPageBreak/>
        <w:t>定</w:t>
      </w:r>
      <w:r>
        <w:rPr>
          <w:rFonts w:ascii="Times New Roman" w:hAnsi="Times New Roman" w:cs="Times New Roman" w:hint="eastAsia"/>
          <w:kern w:val="0"/>
          <w:sz w:val="24"/>
          <w:szCs w:val="24"/>
        </w:rPr>
        <w:t>增长。</w:t>
      </w:r>
    </w:p>
    <w:p w:rsidR="00442D7C" w:rsidRDefault="00442D7C" w:rsidP="00C529A9">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442D7C">
        <w:rPr>
          <w:rFonts w:ascii="Times New Roman" w:hAnsi="Times New Roman" w:cs="Times New Roman" w:hint="eastAsia"/>
          <w:kern w:val="0"/>
          <w:sz w:val="24"/>
          <w:szCs w:val="24"/>
        </w:rPr>
        <w:t>2012-2014</w:t>
      </w:r>
      <w:r w:rsidRPr="00442D7C">
        <w:rPr>
          <w:rFonts w:ascii="Times New Roman" w:hAnsi="Times New Roman" w:cs="Times New Roman" w:hint="eastAsia"/>
          <w:kern w:val="0"/>
          <w:sz w:val="24"/>
          <w:szCs w:val="24"/>
        </w:rPr>
        <w:t>年度以及</w:t>
      </w:r>
      <w:r w:rsidRPr="00442D7C">
        <w:rPr>
          <w:rFonts w:ascii="Times New Roman" w:hAnsi="Times New Roman" w:cs="Times New Roman" w:hint="eastAsia"/>
          <w:kern w:val="0"/>
          <w:sz w:val="24"/>
          <w:szCs w:val="24"/>
        </w:rPr>
        <w:t>2015</w:t>
      </w:r>
      <w:r w:rsidRPr="00442D7C">
        <w:rPr>
          <w:rFonts w:ascii="Times New Roman" w:hAnsi="Times New Roman" w:cs="Times New Roman" w:hint="eastAsia"/>
          <w:kern w:val="0"/>
          <w:sz w:val="24"/>
          <w:szCs w:val="24"/>
        </w:rPr>
        <w:t>年</w:t>
      </w:r>
      <w:r w:rsidRPr="00442D7C">
        <w:rPr>
          <w:rFonts w:ascii="Times New Roman" w:hAnsi="Times New Roman" w:cs="Times New Roman" w:hint="eastAsia"/>
          <w:kern w:val="0"/>
          <w:sz w:val="24"/>
          <w:szCs w:val="24"/>
        </w:rPr>
        <w:t>1-3</w:t>
      </w:r>
      <w:r w:rsidRPr="00442D7C">
        <w:rPr>
          <w:rFonts w:ascii="Times New Roman" w:hAnsi="Times New Roman" w:cs="Times New Roman" w:hint="eastAsia"/>
          <w:kern w:val="0"/>
          <w:sz w:val="24"/>
          <w:szCs w:val="24"/>
        </w:rPr>
        <w:t>月，</w:t>
      </w:r>
      <w:r w:rsidR="00C529A9">
        <w:rPr>
          <w:rFonts w:ascii="Times New Roman" w:hAnsi="Times New Roman" w:cs="Times New Roman" w:hint="eastAsia"/>
          <w:kern w:val="0"/>
          <w:sz w:val="24"/>
          <w:szCs w:val="24"/>
        </w:rPr>
        <w:t>归属于母公司的</w:t>
      </w:r>
      <w:r w:rsidR="00A6723E" w:rsidRPr="00C529A9">
        <w:rPr>
          <w:rFonts w:ascii="Times New Roman" w:hAnsi="Times New Roman" w:cs="Times New Roman" w:hint="eastAsia"/>
          <w:kern w:val="0"/>
          <w:sz w:val="24"/>
          <w:szCs w:val="24"/>
        </w:rPr>
        <w:t>净利润分别为</w:t>
      </w:r>
      <w:r w:rsidR="00C529A9" w:rsidRPr="00C529A9">
        <w:rPr>
          <w:rFonts w:ascii="Times New Roman" w:hAnsi="Times New Roman" w:cs="Times New Roman"/>
          <w:kern w:val="0"/>
          <w:sz w:val="24"/>
          <w:szCs w:val="24"/>
        </w:rPr>
        <w:t>226,919.78</w:t>
      </w:r>
      <w:r w:rsidR="00C529A9">
        <w:rPr>
          <w:rFonts w:ascii="Times New Roman" w:hAnsi="Times New Roman" w:cs="Times New Roman"/>
          <w:kern w:val="0"/>
          <w:sz w:val="24"/>
          <w:szCs w:val="24"/>
        </w:rPr>
        <w:t>万元</w:t>
      </w:r>
      <w:r w:rsidR="00C529A9">
        <w:rPr>
          <w:rFonts w:ascii="Times New Roman" w:hAnsi="Times New Roman" w:cs="Times New Roman" w:hint="eastAsia"/>
          <w:kern w:val="0"/>
          <w:sz w:val="24"/>
          <w:szCs w:val="24"/>
        </w:rPr>
        <w:t>、</w:t>
      </w:r>
      <w:r w:rsidR="00C529A9" w:rsidRPr="00C529A9">
        <w:rPr>
          <w:rFonts w:ascii="Times New Roman" w:hAnsi="Times New Roman" w:cs="Times New Roman"/>
          <w:kern w:val="0"/>
          <w:sz w:val="24"/>
          <w:szCs w:val="24"/>
        </w:rPr>
        <w:t>289,151.73</w:t>
      </w:r>
      <w:r w:rsidR="00C529A9">
        <w:rPr>
          <w:rFonts w:ascii="Times New Roman" w:hAnsi="Times New Roman" w:cs="Times New Roman"/>
          <w:kern w:val="0"/>
          <w:sz w:val="24"/>
          <w:szCs w:val="24"/>
        </w:rPr>
        <w:t>万元</w:t>
      </w:r>
      <w:r w:rsidR="00C529A9">
        <w:rPr>
          <w:rFonts w:ascii="Times New Roman" w:hAnsi="Times New Roman" w:cs="Times New Roman" w:hint="eastAsia"/>
          <w:kern w:val="0"/>
          <w:sz w:val="24"/>
          <w:szCs w:val="24"/>
        </w:rPr>
        <w:t>、</w:t>
      </w:r>
      <w:r w:rsidR="00C529A9" w:rsidRPr="00C529A9">
        <w:rPr>
          <w:rFonts w:ascii="Times New Roman" w:hAnsi="Times New Roman" w:cs="Times New Roman"/>
          <w:kern w:val="0"/>
          <w:sz w:val="24"/>
          <w:szCs w:val="24"/>
        </w:rPr>
        <w:t>292,745.52</w:t>
      </w:r>
      <w:r w:rsidR="00C529A9">
        <w:rPr>
          <w:rFonts w:ascii="Times New Roman" w:hAnsi="Times New Roman" w:cs="Times New Roman"/>
          <w:kern w:val="0"/>
          <w:sz w:val="24"/>
          <w:szCs w:val="24"/>
        </w:rPr>
        <w:t>万元和</w:t>
      </w:r>
      <w:r w:rsidR="00C529A9" w:rsidRPr="00C529A9">
        <w:rPr>
          <w:rFonts w:ascii="Times New Roman" w:hAnsi="Times New Roman" w:cs="Times New Roman"/>
          <w:kern w:val="0"/>
          <w:sz w:val="24"/>
          <w:szCs w:val="24"/>
        </w:rPr>
        <w:t>79,757.92</w:t>
      </w:r>
      <w:r w:rsidR="00C529A9">
        <w:rPr>
          <w:rFonts w:ascii="Times New Roman" w:hAnsi="Times New Roman" w:cs="Times New Roman"/>
          <w:kern w:val="0"/>
          <w:sz w:val="24"/>
          <w:szCs w:val="24"/>
        </w:rPr>
        <w:t>万元</w:t>
      </w:r>
      <w:r w:rsidR="00A6723E" w:rsidRPr="00C529A9">
        <w:rPr>
          <w:rFonts w:ascii="Times New Roman" w:hAnsi="Times New Roman" w:cs="Times New Roman" w:hint="eastAsia"/>
          <w:kern w:val="0"/>
          <w:sz w:val="24"/>
          <w:szCs w:val="24"/>
        </w:rPr>
        <w:t>，</w:t>
      </w:r>
      <w:r w:rsidR="00A6723E" w:rsidRPr="00C529A9">
        <w:rPr>
          <w:rFonts w:ascii="Times New Roman" w:hAnsi="Times New Roman" w:cs="Times New Roman"/>
          <w:kern w:val="0"/>
          <w:sz w:val="24"/>
          <w:szCs w:val="24"/>
        </w:rPr>
        <w:t>2013</w:t>
      </w:r>
      <w:r w:rsidR="00A6723E" w:rsidRPr="00C529A9">
        <w:rPr>
          <w:rFonts w:ascii="Times New Roman" w:hAnsi="Times New Roman" w:cs="Times New Roman" w:hint="eastAsia"/>
          <w:kern w:val="0"/>
          <w:sz w:val="24"/>
          <w:szCs w:val="24"/>
        </w:rPr>
        <w:t>年度</w:t>
      </w:r>
      <w:r w:rsidR="00C529A9">
        <w:rPr>
          <w:rFonts w:ascii="Times New Roman" w:hAnsi="Times New Roman" w:cs="Times New Roman" w:hint="eastAsia"/>
          <w:kern w:val="0"/>
          <w:sz w:val="24"/>
          <w:szCs w:val="24"/>
        </w:rPr>
        <w:t>归属于母公司的</w:t>
      </w:r>
      <w:r w:rsidR="00A6723E" w:rsidRPr="00C529A9">
        <w:rPr>
          <w:rFonts w:ascii="Times New Roman" w:hAnsi="Times New Roman" w:cs="Times New Roman" w:hint="eastAsia"/>
          <w:kern w:val="0"/>
          <w:sz w:val="24"/>
          <w:szCs w:val="24"/>
        </w:rPr>
        <w:t>净利润较</w:t>
      </w:r>
      <w:r w:rsidR="00A6723E" w:rsidRPr="00C529A9">
        <w:rPr>
          <w:rFonts w:ascii="Times New Roman" w:hAnsi="Times New Roman" w:cs="Times New Roman"/>
          <w:kern w:val="0"/>
          <w:sz w:val="24"/>
          <w:szCs w:val="24"/>
        </w:rPr>
        <w:t>2012</w:t>
      </w:r>
      <w:r w:rsidR="00A6723E" w:rsidRPr="00C529A9">
        <w:rPr>
          <w:rFonts w:ascii="Times New Roman" w:hAnsi="Times New Roman" w:cs="Times New Roman" w:hint="eastAsia"/>
          <w:kern w:val="0"/>
          <w:sz w:val="24"/>
          <w:szCs w:val="24"/>
        </w:rPr>
        <w:t>年度增长</w:t>
      </w:r>
      <w:r w:rsidR="00C529A9">
        <w:rPr>
          <w:rFonts w:ascii="Times New Roman" w:hAnsi="Times New Roman" w:cs="Times New Roman" w:hint="eastAsia"/>
          <w:kern w:val="0"/>
          <w:sz w:val="24"/>
          <w:szCs w:val="24"/>
        </w:rPr>
        <w:t>27.42</w:t>
      </w:r>
      <w:r w:rsidR="00A6723E" w:rsidRPr="00C529A9">
        <w:rPr>
          <w:rFonts w:ascii="Times New Roman" w:hAnsi="Times New Roman" w:cs="Times New Roman"/>
          <w:kern w:val="0"/>
          <w:sz w:val="24"/>
          <w:szCs w:val="24"/>
        </w:rPr>
        <w:t>%</w:t>
      </w:r>
      <w:r w:rsidR="00C529A9">
        <w:rPr>
          <w:rFonts w:ascii="Times New Roman" w:hAnsi="Times New Roman" w:cs="Times New Roman" w:hint="eastAsia"/>
          <w:kern w:val="0"/>
          <w:sz w:val="24"/>
          <w:szCs w:val="24"/>
        </w:rPr>
        <w:t>，</w:t>
      </w:r>
      <w:r w:rsidR="00C529A9">
        <w:rPr>
          <w:rFonts w:ascii="Times New Roman" w:hAnsi="Times New Roman" w:cs="Times New Roman" w:hint="eastAsia"/>
          <w:kern w:val="0"/>
          <w:sz w:val="24"/>
          <w:szCs w:val="24"/>
        </w:rPr>
        <w:t>2014</w:t>
      </w:r>
      <w:r w:rsidR="00C529A9">
        <w:rPr>
          <w:rFonts w:ascii="Times New Roman" w:hAnsi="Times New Roman" w:cs="Times New Roman" w:hint="eastAsia"/>
          <w:kern w:val="0"/>
          <w:sz w:val="24"/>
          <w:szCs w:val="24"/>
        </w:rPr>
        <w:t>年度归属于母公司的净利润较</w:t>
      </w:r>
      <w:r w:rsidR="00C529A9">
        <w:rPr>
          <w:rFonts w:ascii="Times New Roman" w:hAnsi="Times New Roman" w:cs="Times New Roman" w:hint="eastAsia"/>
          <w:kern w:val="0"/>
          <w:sz w:val="24"/>
          <w:szCs w:val="24"/>
        </w:rPr>
        <w:t>2013</w:t>
      </w:r>
      <w:r w:rsidR="00C529A9">
        <w:rPr>
          <w:rFonts w:ascii="Times New Roman" w:hAnsi="Times New Roman" w:cs="Times New Roman" w:hint="eastAsia"/>
          <w:kern w:val="0"/>
          <w:sz w:val="24"/>
          <w:szCs w:val="24"/>
        </w:rPr>
        <w:t>年度增长</w:t>
      </w:r>
      <w:r w:rsidR="00C529A9">
        <w:rPr>
          <w:rFonts w:ascii="Times New Roman" w:hAnsi="Times New Roman" w:cs="Times New Roman" w:hint="eastAsia"/>
          <w:kern w:val="0"/>
          <w:sz w:val="24"/>
          <w:szCs w:val="24"/>
        </w:rPr>
        <w:t>1.24%</w:t>
      </w:r>
      <w:r w:rsidRPr="00442D7C">
        <w:rPr>
          <w:rFonts w:ascii="Times New Roman" w:hAnsi="Times New Roman" w:cs="Times New Roman" w:hint="eastAsia"/>
          <w:kern w:val="0"/>
          <w:sz w:val="24"/>
          <w:szCs w:val="24"/>
        </w:rPr>
        <w:t>。</w:t>
      </w:r>
    </w:p>
    <w:p w:rsidR="00442D7C" w:rsidRDefault="00442D7C" w:rsidP="000949BF">
      <w:pPr>
        <w:autoSpaceDE w:val="0"/>
        <w:autoSpaceDN w:val="0"/>
        <w:adjustRightInd w:val="0"/>
        <w:spacing w:line="360" w:lineRule="auto"/>
        <w:ind w:firstLineChars="200" w:firstLine="480"/>
        <w:jc w:val="left"/>
        <w:outlineLvl w:val="0"/>
        <w:rPr>
          <w:rFonts w:ascii="Times New Roman" w:hAnsi="Times New Roman" w:cs="Times New Roman"/>
          <w:kern w:val="0"/>
          <w:sz w:val="24"/>
          <w:szCs w:val="24"/>
        </w:rPr>
      </w:pPr>
      <w:r w:rsidRPr="00442D7C">
        <w:rPr>
          <w:rFonts w:ascii="Times New Roman" w:hAnsi="Times New Roman" w:cs="Times New Roman" w:hint="eastAsia"/>
          <w:kern w:val="0"/>
          <w:sz w:val="24"/>
          <w:szCs w:val="24"/>
        </w:rPr>
        <w:t>6</w:t>
      </w:r>
      <w:r w:rsidRPr="00442D7C">
        <w:rPr>
          <w:rFonts w:ascii="Times New Roman" w:hAnsi="Times New Roman" w:cs="Times New Roman" w:hint="eastAsia"/>
          <w:kern w:val="0"/>
          <w:sz w:val="24"/>
          <w:szCs w:val="24"/>
        </w:rPr>
        <w:t>、未来业务目标及盈利能力的可持续性</w:t>
      </w:r>
    </w:p>
    <w:p w:rsidR="004950B3" w:rsidRPr="004950B3" w:rsidRDefault="004950B3" w:rsidP="004950B3">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4950B3">
        <w:rPr>
          <w:rFonts w:ascii="Times New Roman" w:hAnsi="Times New Roman" w:cs="Times New Roman" w:hint="eastAsia"/>
          <w:kern w:val="0"/>
          <w:sz w:val="24"/>
          <w:szCs w:val="24"/>
        </w:rPr>
        <w:t>面对房地产行业发展形势的深刻调整以及公司经营现状，公司</w:t>
      </w:r>
      <w:r>
        <w:rPr>
          <w:rFonts w:ascii="Times New Roman" w:hAnsi="Times New Roman" w:cs="Times New Roman" w:hint="eastAsia"/>
          <w:kern w:val="0"/>
          <w:sz w:val="24"/>
          <w:szCs w:val="24"/>
        </w:rPr>
        <w:t>未来</w:t>
      </w:r>
      <w:r w:rsidRPr="004950B3">
        <w:rPr>
          <w:rFonts w:ascii="Times New Roman" w:hAnsi="Times New Roman" w:cs="Times New Roman" w:hint="eastAsia"/>
          <w:kern w:val="0"/>
          <w:sz w:val="24"/>
          <w:szCs w:val="24"/>
        </w:rPr>
        <w:t>总体经营思路为“调整结构、提高效率、稳定业绩、创新发展”</w:t>
      </w:r>
      <w:r w:rsidR="00A6723E" w:rsidRPr="004950B3">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公司在保持经营规模合理增长的同时，着重提升发展质量和效益，实现公司的持续、稳定、健康发展；重点推进业务创新和转型，完善资产管理服务，探索细分市场业务，寻求互联网</w:t>
      </w:r>
      <w:r w:rsidR="00D07843" w:rsidRPr="00D07843">
        <w:rPr>
          <w:rFonts w:ascii="Times New Roman" w:hAnsi="Times New Roman" w:cs="Times New Roman"/>
          <w:kern w:val="0"/>
          <w:sz w:val="24"/>
          <w:szCs w:val="24"/>
        </w:rPr>
        <w:t>+</w:t>
      </w:r>
      <w:r w:rsidR="00D07843" w:rsidRPr="00D07843">
        <w:rPr>
          <w:rFonts w:ascii="Times New Roman" w:hAnsi="Times New Roman" w:cs="Times New Roman" w:hint="eastAsia"/>
          <w:kern w:val="0"/>
          <w:sz w:val="24"/>
          <w:szCs w:val="24"/>
        </w:rPr>
        <w:t>金融领域的投资机遇；改革内部管理体制和机制。</w:t>
      </w:r>
      <w:r>
        <w:rPr>
          <w:rFonts w:ascii="Times New Roman" w:hAnsi="Times New Roman" w:cs="Times New Roman" w:hint="eastAsia"/>
          <w:kern w:val="0"/>
          <w:sz w:val="24"/>
          <w:szCs w:val="24"/>
        </w:rPr>
        <w:t>公司将</w:t>
      </w:r>
      <w:r w:rsidR="00D07843" w:rsidRPr="00D07843">
        <w:rPr>
          <w:rFonts w:ascii="Times New Roman" w:hAnsi="Times New Roman" w:cs="Times New Roman" w:hint="eastAsia"/>
          <w:kern w:val="0"/>
          <w:sz w:val="24"/>
          <w:szCs w:val="24"/>
        </w:rPr>
        <w:t>改进现有业务经营，提升盈利能力</w:t>
      </w:r>
      <w:r>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加大项目资源储备，保障业绩增长</w:t>
      </w:r>
      <w:r>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完善资产管理服务，发展轻资产运营</w:t>
      </w:r>
      <w:r>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寻找新业务投资机遇，培育利润增长点</w:t>
      </w:r>
      <w:r>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创新公司产品研发，提高产品竞争力</w:t>
      </w:r>
      <w:r>
        <w:rPr>
          <w:rFonts w:ascii="Times New Roman" w:hAnsi="Times New Roman" w:cs="Times New Roman" w:hint="eastAsia"/>
          <w:kern w:val="0"/>
          <w:sz w:val="24"/>
          <w:szCs w:val="24"/>
        </w:rPr>
        <w:t>；</w:t>
      </w:r>
      <w:r w:rsidR="00D07843" w:rsidRPr="00D07843">
        <w:rPr>
          <w:rFonts w:ascii="Times New Roman" w:hAnsi="Times New Roman" w:cs="Times New Roman" w:hint="eastAsia"/>
          <w:kern w:val="0"/>
          <w:sz w:val="24"/>
          <w:szCs w:val="24"/>
        </w:rPr>
        <w:t>加强风险合</w:t>
      </w:r>
      <w:proofErr w:type="gramStart"/>
      <w:r w:rsidR="00D07843" w:rsidRPr="00D07843">
        <w:rPr>
          <w:rFonts w:ascii="Times New Roman" w:hAnsi="Times New Roman" w:cs="Times New Roman" w:hint="eastAsia"/>
          <w:kern w:val="0"/>
          <w:sz w:val="24"/>
          <w:szCs w:val="24"/>
        </w:rPr>
        <w:t>规</w:t>
      </w:r>
      <w:proofErr w:type="gramEnd"/>
      <w:r w:rsidR="00D07843" w:rsidRPr="00D07843">
        <w:rPr>
          <w:rFonts w:ascii="Times New Roman" w:hAnsi="Times New Roman" w:cs="Times New Roman" w:hint="eastAsia"/>
          <w:kern w:val="0"/>
          <w:sz w:val="24"/>
          <w:szCs w:val="24"/>
        </w:rPr>
        <w:t>管控，深化信息化应用。</w:t>
      </w:r>
    </w:p>
    <w:p w:rsidR="00BE5148" w:rsidRDefault="00BE5148" w:rsidP="004950B3">
      <w:pPr>
        <w:pStyle w:val="a3"/>
        <w:numPr>
          <w:ilvl w:val="0"/>
          <w:numId w:val="1"/>
        </w:numPr>
        <w:snapToGrid w:val="0"/>
        <w:spacing w:line="360" w:lineRule="auto"/>
        <w:ind w:left="108" w:firstLine="482"/>
        <w:rPr>
          <w:b/>
          <w:sz w:val="24"/>
        </w:rPr>
      </w:pPr>
      <w:r w:rsidRPr="00BE5148">
        <w:rPr>
          <w:rFonts w:hint="eastAsia"/>
          <w:b/>
          <w:sz w:val="24"/>
        </w:rPr>
        <w:t>本次债券发行的募集资金用途</w:t>
      </w:r>
    </w:p>
    <w:p w:rsidR="00BE5148" w:rsidRPr="00BE5148" w:rsidRDefault="00BE5148" w:rsidP="00BE5148">
      <w:pPr>
        <w:snapToGrid w:val="0"/>
        <w:spacing w:line="360" w:lineRule="auto"/>
        <w:ind w:firstLineChars="200" w:firstLine="480"/>
        <w:rPr>
          <w:sz w:val="24"/>
        </w:rPr>
      </w:pPr>
      <w:r w:rsidRPr="00BE5148">
        <w:rPr>
          <w:rFonts w:hint="eastAsia"/>
          <w:sz w:val="24"/>
        </w:rPr>
        <w:t>本期债券的发行总额不超过</w:t>
      </w:r>
      <w:r w:rsidRPr="00BE5148">
        <w:rPr>
          <w:rFonts w:ascii="Times New Roman" w:hAnsi="Times New Roman" w:cs="Times New Roman"/>
          <w:sz w:val="24"/>
        </w:rPr>
        <w:t>90</w:t>
      </w:r>
      <w:r w:rsidR="004D50BB">
        <w:rPr>
          <w:rFonts w:hint="eastAsia"/>
          <w:sz w:val="24"/>
        </w:rPr>
        <w:t>亿元</w:t>
      </w:r>
      <w:r w:rsidR="006E2763">
        <w:rPr>
          <w:rFonts w:hint="eastAsia"/>
          <w:sz w:val="24"/>
        </w:rPr>
        <w:t>（含</w:t>
      </w:r>
      <w:r w:rsidR="006E2763" w:rsidRPr="006E2763">
        <w:rPr>
          <w:rFonts w:ascii="Times New Roman" w:hAnsi="Times New Roman" w:cs="Times New Roman"/>
          <w:sz w:val="24"/>
        </w:rPr>
        <w:t>90</w:t>
      </w:r>
      <w:r w:rsidR="006E2763">
        <w:rPr>
          <w:rFonts w:hint="eastAsia"/>
          <w:sz w:val="24"/>
        </w:rPr>
        <w:t>亿元）</w:t>
      </w:r>
      <w:r w:rsidR="004D50BB">
        <w:rPr>
          <w:rFonts w:hint="eastAsia"/>
          <w:sz w:val="24"/>
        </w:rPr>
        <w:t>。根据公司</w:t>
      </w:r>
      <w:r w:rsidRPr="00BE5148">
        <w:rPr>
          <w:rFonts w:hint="eastAsia"/>
          <w:sz w:val="24"/>
        </w:rPr>
        <w:t>的财务状况和资金需求情况，</w:t>
      </w:r>
      <w:r w:rsidR="004D50BB">
        <w:rPr>
          <w:rFonts w:hint="eastAsia"/>
          <w:sz w:val="24"/>
        </w:rPr>
        <w:t>拟用于</w:t>
      </w:r>
      <w:r w:rsidR="004D50BB" w:rsidRPr="004D50BB">
        <w:rPr>
          <w:sz w:val="24"/>
        </w:rPr>
        <w:t>补充</w:t>
      </w:r>
      <w:r w:rsidR="004D50BB" w:rsidRPr="004D50BB">
        <w:rPr>
          <w:rFonts w:hint="eastAsia"/>
          <w:sz w:val="24"/>
        </w:rPr>
        <w:t>公司</w:t>
      </w:r>
      <w:r w:rsidR="004D50BB" w:rsidRPr="004D50BB">
        <w:rPr>
          <w:sz w:val="24"/>
        </w:rPr>
        <w:t>（含下属公司）营运资金、偿还公司（含下属公司）借款</w:t>
      </w:r>
      <w:r w:rsidRPr="00BE5148">
        <w:rPr>
          <w:rFonts w:hint="eastAsia"/>
          <w:sz w:val="24"/>
        </w:rPr>
        <w:t>。</w:t>
      </w:r>
    </w:p>
    <w:p w:rsidR="00BE5148" w:rsidRPr="00BE5148" w:rsidRDefault="00BE5148" w:rsidP="00BE5148">
      <w:pPr>
        <w:snapToGrid w:val="0"/>
        <w:spacing w:line="360" w:lineRule="auto"/>
        <w:ind w:firstLineChars="200" w:firstLine="480"/>
        <w:rPr>
          <w:sz w:val="24"/>
          <w:highlight w:val="yellow"/>
        </w:rPr>
      </w:pPr>
      <w:r w:rsidRPr="00BE5148">
        <w:rPr>
          <w:rFonts w:hint="eastAsia"/>
          <w:sz w:val="24"/>
        </w:rPr>
        <w:t>本次发行公司债券募集资金的运用将有利于优化公司债务结构，拓宽公司融资渠道，促进公司稳步健康发展。</w:t>
      </w:r>
    </w:p>
    <w:p w:rsidR="00442D7C" w:rsidRDefault="00BE5148" w:rsidP="00BE5148">
      <w:pPr>
        <w:pStyle w:val="a3"/>
        <w:numPr>
          <w:ilvl w:val="0"/>
          <w:numId w:val="1"/>
        </w:numPr>
        <w:snapToGrid w:val="0"/>
        <w:spacing w:line="360" w:lineRule="auto"/>
        <w:ind w:left="108" w:firstLine="482"/>
        <w:rPr>
          <w:b/>
          <w:sz w:val="24"/>
        </w:rPr>
      </w:pPr>
      <w:r w:rsidRPr="00BE5148">
        <w:rPr>
          <w:rFonts w:hint="eastAsia"/>
          <w:b/>
          <w:sz w:val="24"/>
        </w:rPr>
        <w:t>其他重要事项</w:t>
      </w:r>
    </w:p>
    <w:p w:rsidR="00BE5148" w:rsidRDefault="00BE5148" w:rsidP="00BE5148">
      <w:pPr>
        <w:snapToGrid w:val="0"/>
        <w:spacing w:line="360" w:lineRule="auto"/>
        <w:ind w:firstLineChars="200" w:firstLine="480"/>
        <w:rPr>
          <w:rFonts w:ascii="Times New Roman" w:hAnsi="Times New Roman" w:cs="Times New Roman"/>
          <w:sz w:val="24"/>
          <w:szCs w:val="24"/>
        </w:rPr>
      </w:pPr>
      <w:r w:rsidRPr="00BE5148">
        <w:rPr>
          <w:rFonts w:ascii="Times New Roman" w:hAnsi="Times New Roman" w:cs="Times New Roman"/>
          <w:sz w:val="24"/>
          <w:szCs w:val="24"/>
        </w:rPr>
        <w:t>截至</w:t>
      </w:r>
      <w:r>
        <w:rPr>
          <w:rFonts w:ascii="Times New Roman" w:hAnsi="Times New Roman" w:cs="Times New Roman"/>
          <w:sz w:val="24"/>
          <w:szCs w:val="24"/>
        </w:rPr>
        <w:t>201</w:t>
      </w:r>
      <w:r>
        <w:rPr>
          <w:rFonts w:ascii="Times New Roman" w:hAnsi="Times New Roman" w:cs="Times New Roman" w:hint="eastAsia"/>
          <w:sz w:val="24"/>
          <w:szCs w:val="24"/>
        </w:rPr>
        <w:t>5</w:t>
      </w:r>
      <w:r w:rsidRPr="00BE5148">
        <w:rPr>
          <w:rFonts w:ascii="Times New Roman" w:hAnsi="Times New Roman" w:cs="Times New Roman"/>
          <w:sz w:val="24"/>
          <w:szCs w:val="24"/>
        </w:rPr>
        <w:t>年</w:t>
      </w:r>
      <w:r>
        <w:rPr>
          <w:rFonts w:ascii="Times New Roman" w:hAnsi="Times New Roman" w:cs="Times New Roman" w:hint="eastAsia"/>
          <w:sz w:val="24"/>
          <w:szCs w:val="24"/>
        </w:rPr>
        <w:t>3</w:t>
      </w:r>
      <w:r w:rsidRPr="00BE5148">
        <w:rPr>
          <w:rFonts w:ascii="Times New Roman" w:hAnsi="Times New Roman" w:cs="Times New Roman"/>
          <w:sz w:val="24"/>
          <w:szCs w:val="24"/>
        </w:rPr>
        <w:t>月</w:t>
      </w:r>
      <w:r>
        <w:rPr>
          <w:rFonts w:ascii="Times New Roman" w:hAnsi="Times New Roman" w:cs="Times New Roman"/>
          <w:sz w:val="24"/>
          <w:szCs w:val="24"/>
        </w:rPr>
        <w:t>3</w:t>
      </w:r>
      <w:r>
        <w:rPr>
          <w:rFonts w:ascii="Times New Roman" w:hAnsi="Times New Roman" w:cs="Times New Roman" w:hint="eastAsia"/>
          <w:sz w:val="24"/>
          <w:szCs w:val="24"/>
        </w:rPr>
        <w:t>1</w:t>
      </w:r>
      <w:r>
        <w:rPr>
          <w:rFonts w:ascii="Times New Roman" w:hAnsi="Times New Roman" w:cs="Times New Roman"/>
          <w:sz w:val="24"/>
          <w:szCs w:val="24"/>
        </w:rPr>
        <w:t>日，</w:t>
      </w:r>
      <w:r w:rsidR="004D50BB">
        <w:rPr>
          <w:rFonts w:ascii="Times New Roman" w:hAnsi="Times New Roman" w:cs="Times New Roman"/>
          <w:sz w:val="24"/>
          <w:szCs w:val="24"/>
        </w:rPr>
        <w:t>公司</w:t>
      </w:r>
      <w:r>
        <w:rPr>
          <w:rFonts w:ascii="Times New Roman" w:hAnsi="Times New Roman" w:cs="Times New Roman"/>
          <w:sz w:val="24"/>
          <w:szCs w:val="24"/>
        </w:rPr>
        <w:t>及下属子公司除</w:t>
      </w:r>
      <w:r w:rsidRPr="00271125">
        <w:rPr>
          <w:rFonts w:hint="eastAsia"/>
          <w:sz w:val="24"/>
        </w:rPr>
        <w:t>按照房地产销售惯例为商品房承购人提供</w:t>
      </w:r>
      <w:r w:rsidR="00B07C97">
        <w:rPr>
          <w:rFonts w:hint="eastAsia"/>
          <w:sz w:val="24"/>
        </w:rPr>
        <w:t>按揭</w:t>
      </w:r>
      <w:r w:rsidRPr="00271125">
        <w:rPr>
          <w:rFonts w:hint="eastAsia"/>
          <w:sz w:val="24"/>
        </w:rPr>
        <w:t>贷款担保</w:t>
      </w:r>
      <w:r w:rsidRPr="00BE5148">
        <w:rPr>
          <w:rFonts w:ascii="Times New Roman" w:hAnsi="Times New Roman" w:cs="Times New Roman"/>
          <w:sz w:val="24"/>
          <w:szCs w:val="24"/>
        </w:rPr>
        <w:t>，不存在对合并口径外的公司及个人担保的情况。</w:t>
      </w:r>
    </w:p>
    <w:p w:rsidR="00652E9E" w:rsidRDefault="00BE5148" w:rsidP="00BE5148">
      <w:pPr>
        <w:snapToGrid w:val="0"/>
        <w:spacing w:line="360" w:lineRule="auto"/>
        <w:ind w:firstLineChars="200" w:firstLine="480"/>
        <w:rPr>
          <w:rFonts w:ascii="Times New Roman" w:hAnsi="Times New Roman" w:cs="Times New Roman"/>
          <w:sz w:val="24"/>
          <w:szCs w:val="24"/>
        </w:rPr>
      </w:pPr>
      <w:r w:rsidRPr="00BE5148">
        <w:rPr>
          <w:rFonts w:ascii="Times New Roman" w:hAnsi="Times New Roman" w:cs="Times New Roman"/>
          <w:sz w:val="24"/>
          <w:szCs w:val="24"/>
        </w:rPr>
        <w:t>截至</w:t>
      </w:r>
      <w:r>
        <w:rPr>
          <w:rFonts w:ascii="Times New Roman" w:hAnsi="Times New Roman" w:cs="Times New Roman"/>
          <w:sz w:val="24"/>
          <w:szCs w:val="24"/>
        </w:rPr>
        <w:t>201</w:t>
      </w:r>
      <w:r>
        <w:rPr>
          <w:rFonts w:ascii="Times New Roman" w:hAnsi="Times New Roman" w:cs="Times New Roman" w:hint="eastAsia"/>
          <w:sz w:val="24"/>
          <w:szCs w:val="24"/>
        </w:rPr>
        <w:t>5</w:t>
      </w:r>
      <w:r w:rsidRPr="00BE5148">
        <w:rPr>
          <w:rFonts w:ascii="Times New Roman" w:hAnsi="Times New Roman" w:cs="Times New Roman"/>
          <w:sz w:val="24"/>
          <w:szCs w:val="24"/>
        </w:rPr>
        <w:t>年</w:t>
      </w:r>
      <w:r>
        <w:rPr>
          <w:rFonts w:ascii="Times New Roman" w:hAnsi="Times New Roman" w:cs="Times New Roman" w:hint="eastAsia"/>
          <w:sz w:val="24"/>
          <w:szCs w:val="24"/>
        </w:rPr>
        <w:t>3</w:t>
      </w:r>
      <w:r w:rsidRPr="00BE5148">
        <w:rPr>
          <w:rFonts w:ascii="Times New Roman" w:hAnsi="Times New Roman" w:cs="Times New Roman"/>
          <w:sz w:val="24"/>
          <w:szCs w:val="24"/>
        </w:rPr>
        <w:t>月</w:t>
      </w:r>
      <w:r>
        <w:rPr>
          <w:rFonts w:ascii="Times New Roman" w:hAnsi="Times New Roman" w:cs="Times New Roman"/>
          <w:sz w:val="24"/>
          <w:szCs w:val="24"/>
        </w:rPr>
        <w:t>3</w:t>
      </w:r>
      <w:r>
        <w:rPr>
          <w:rFonts w:ascii="Times New Roman" w:hAnsi="Times New Roman" w:cs="Times New Roman" w:hint="eastAsia"/>
          <w:sz w:val="24"/>
          <w:szCs w:val="24"/>
        </w:rPr>
        <w:t>1</w:t>
      </w:r>
      <w:r w:rsidRPr="00BE5148">
        <w:rPr>
          <w:rFonts w:ascii="Times New Roman" w:hAnsi="Times New Roman" w:cs="Times New Roman"/>
          <w:sz w:val="24"/>
          <w:szCs w:val="24"/>
        </w:rPr>
        <w:t>日，</w:t>
      </w:r>
      <w:r w:rsidR="004D50BB">
        <w:rPr>
          <w:rFonts w:ascii="Times New Roman" w:hAnsi="Times New Roman" w:cs="Times New Roman"/>
          <w:sz w:val="24"/>
          <w:szCs w:val="24"/>
        </w:rPr>
        <w:t>公司</w:t>
      </w:r>
      <w:r w:rsidRPr="00BE5148">
        <w:rPr>
          <w:rFonts w:ascii="Times New Roman" w:hAnsi="Times New Roman" w:cs="Times New Roman"/>
          <w:sz w:val="24"/>
          <w:szCs w:val="24"/>
        </w:rPr>
        <w:t>无重大未决诉讼或仲裁事项。</w:t>
      </w:r>
    </w:p>
    <w:p w:rsidR="00652E9E" w:rsidRPr="00652E9E" w:rsidRDefault="00652E9E" w:rsidP="00652E9E">
      <w:pPr>
        <w:pStyle w:val="a3"/>
        <w:numPr>
          <w:ilvl w:val="0"/>
          <w:numId w:val="1"/>
        </w:numPr>
        <w:snapToGrid w:val="0"/>
        <w:spacing w:line="360" w:lineRule="auto"/>
        <w:ind w:left="108" w:firstLine="482"/>
        <w:rPr>
          <w:b/>
          <w:sz w:val="24"/>
        </w:rPr>
      </w:pPr>
      <w:r w:rsidRPr="00652E9E">
        <w:rPr>
          <w:rFonts w:hint="eastAsia"/>
          <w:b/>
          <w:sz w:val="24"/>
        </w:rPr>
        <w:t>风险提示</w:t>
      </w:r>
    </w:p>
    <w:p w:rsidR="00652E9E" w:rsidRPr="003A26C0" w:rsidRDefault="00652E9E" w:rsidP="003A26C0">
      <w:pPr>
        <w:snapToGrid w:val="0"/>
        <w:spacing w:line="360" w:lineRule="auto"/>
        <w:ind w:left="108" w:firstLineChars="200" w:firstLine="480"/>
        <w:rPr>
          <w:rFonts w:ascii="Times New Roman" w:hAnsi="Times New Roman" w:cs="Times New Roman"/>
          <w:sz w:val="24"/>
          <w:szCs w:val="24"/>
        </w:rPr>
      </w:pPr>
      <w:r w:rsidRPr="00652E9E">
        <w:rPr>
          <w:rFonts w:ascii="Times New Roman" w:hAnsi="Times New Roman" w:cs="Times New Roman" w:hint="eastAsia"/>
          <w:sz w:val="24"/>
          <w:szCs w:val="24"/>
        </w:rPr>
        <w:t>本次公司债券发行方案最终能否获得中国证监会的核准及其他有关部门的审核通过尚存在较大的不确定性，提醒投资者注意相关风险。</w:t>
      </w:r>
    </w:p>
    <w:p w:rsidR="00652E9E" w:rsidRDefault="00652E9E" w:rsidP="00652E9E">
      <w:pPr>
        <w:snapToGrid w:val="0"/>
        <w:spacing w:line="360" w:lineRule="auto"/>
        <w:ind w:left="108" w:firstLineChars="200" w:firstLine="480"/>
        <w:rPr>
          <w:sz w:val="24"/>
          <w:szCs w:val="24"/>
        </w:rPr>
      </w:pPr>
      <w:r w:rsidRPr="00652E9E">
        <w:rPr>
          <w:rFonts w:hint="eastAsia"/>
          <w:sz w:val="24"/>
          <w:szCs w:val="24"/>
        </w:rPr>
        <w:t>特此公告。</w:t>
      </w:r>
    </w:p>
    <w:p w:rsidR="008B2F35" w:rsidRPr="008B2F35" w:rsidRDefault="00652E9E" w:rsidP="008B2F35">
      <w:pPr>
        <w:snapToGrid w:val="0"/>
        <w:spacing w:line="360" w:lineRule="auto"/>
        <w:ind w:left="108" w:firstLineChars="200" w:firstLine="482"/>
        <w:jc w:val="center"/>
        <w:rPr>
          <w:rFonts w:asciiTheme="minorEastAsia" w:hAnsiTheme="minorEastAsia"/>
          <w:b/>
          <w:sz w:val="24"/>
          <w:szCs w:val="24"/>
        </w:rPr>
      </w:pPr>
      <w:r w:rsidRPr="008B2F35">
        <w:rPr>
          <w:rFonts w:asciiTheme="minorEastAsia" w:hAnsiTheme="minorEastAsia" w:hint="eastAsia"/>
          <w:b/>
          <w:sz w:val="24"/>
          <w:szCs w:val="24"/>
        </w:rPr>
        <w:t>金融街控股股份有限公司</w:t>
      </w:r>
    </w:p>
    <w:p w:rsidR="002B2017" w:rsidRPr="008B2F35" w:rsidRDefault="00652E9E" w:rsidP="008B2F35">
      <w:pPr>
        <w:snapToGrid w:val="0"/>
        <w:spacing w:line="360" w:lineRule="auto"/>
        <w:ind w:left="108" w:firstLineChars="200" w:firstLine="482"/>
        <w:jc w:val="center"/>
        <w:rPr>
          <w:rFonts w:asciiTheme="minorEastAsia" w:hAnsiTheme="minorEastAsia"/>
          <w:b/>
          <w:sz w:val="24"/>
          <w:szCs w:val="24"/>
        </w:rPr>
      </w:pPr>
      <w:r w:rsidRPr="008B2F35">
        <w:rPr>
          <w:rFonts w:asciiTheme="minorEastAsia" w:hAnsiTheme="minorEastAsia" w:hint="eastAsia"/>
          <w:b/>
          <w:sz w:val="24"/>
          <w:szCs w:val="24"/>
        </w:rPr>
        <w:t>董事会</w:t>
      </w:r>
    </w:p>
    <w:p w:rsidR="002B2017" w:rsidRPr="008B2F35" w:rsidRDefault="008B2F35" w:rsidP="008B2F35">
      <w:pPr>
        <w:snapToGrid w:val="0"/>
        <w:spacing w:line="360" w:lineRule="auto"/>
        <w:ind w:left="108" w:right="480" w:firstLineChars="200" w:firstLine="482"/>
        <w:jc w:val="center"/>
        <w:rPr>
          <w:rFonts w:asciiTheme="minorEastAsia" w:hAnsiTheme="minorEastAsia" w:cs="Times New Roman"/>
          <w:sz w:val="24"/>
          <w:szCs w:val="24"/>
        </w:rPr>
      </w:pPr>
      <w:r w:rsidRPr="008B2F35">
        <w:rPr>
          <w:rFonts w:asciiTheme="minorEastAsia" w:hAnsiTheme="minorEastAsia" w:hint="eastAsia"/>
          <w:b/>
          <w:sz w:val="24"/>
          <w:szCs w:val="24"/>
        </w:rPr>
        <w:lastRenderedPageBreak/>
        <w:t xml:space="preserve">    2015</w:t>
      </w:r>
      <w:r w:rsidR="00652E9E" w:rsidRPr="008B2F35">
        <w:rPr>
          <w:rFonts w:asciiTheme="minorEastAsia" w:hAnsiTheme="minorEastAsia" w:hint="eastAsia"/>
          <w:b/>
          <w:sz w:val="24"/>
          <w:szCs w:val="24"/>
        </w:rPr>
        <w:t>年</w:t>
      </w:r>
      <w:r w:rsidRPr="008B2F35">
        <w:rPr>
          <w:rFonts w:asciiTheme="minorEastAsia" w:hAnsiTheme="minorEastAsia" w:hint="eastAsia"/>
          <w:b/>
          <w:sz w:val="24"/>
          <w:szCs w:val="24"/>
        </w:rPr>
        <w:t>7</w:t>
      </w:r>
      <w:r w:rsidR="00652E9E" w:rsidRPr="008B2F35">
        <w:rPr>
          <w:rFonts w:asciiTheme="minorEastAsia" w:hAnsiTheme="minorEastAsia" w:hint="eastAsia"/>
          <w:b/>
          <w:sz w:val="24"/>
          <w:szCs w:val="24"/>
        </w:rPr>
        <w:t>月</w:t>
      </w:r>
      <w:r w:rsidRPr="008B2F35">
        <w:rPr>
          <w:rFonts w:asciiTheme="minorEastAsia" w:hAnsiTheme="minorEastAsia" w:hint="eastAsia"/>
          <w:b/>
          <w:sz w:val="24"/>
          <w:szCs w:val="24"/>
        </w:rPr>
        <w:t>3</w:t>
      </w:r>
      <w:r w:rsidR="00652E9E" w:rsidRPr="008B2F35">
        <w:rPr>
          <w:rFonts w:asciiTheme="minorEastAsia" w:hAnsiTheme="minorEastAsia" w:hint="eastAsia"/>
          <w:b/>
          <w:sz w:val="24"/>
          <w:szCs w:val="24"/>
        </w:rPr>
        <w:t>日</w:t>
      </w:r>
    </w:p>
    <w:sectPr w:rsidR="002B2017" w:rsidRPr="008B2F35" w:rsidSect="002370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01" w:rsidRDefault="004F3201" w:rsidP="003A26C0">
      <w:r>
        <w:separator/>
      </w:r>
    </w:p>
  </w:endnote>
  <w:endnote w:type="continuationSeparator" w:id="0">
    <w:p w:rsidR="004F3201" w:rsidRDefault="004F3201" w:rsidP="003A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934350"/>
      <w:docPartObj>
        <w:docPartGallery w:val="Page Numbers (Bottom of Page)"/>
        <w:docPartUnique/>
      </w:docPartObj>
    </w:sdtPr>
    <w:sdtEndPr>
      <w:rPr>
        <w:rFonts w:ascii="Times New Roman" w:hAnsi="Times New Roman" w:cs="Times New Roman"/>
      </w:rPr>
    </w:sdtEndPr>
    <w:sdtContent>
      <w:p w:rsidR="002B2017" w:rsidRDefault="00071659">
        <w:pPr>
          <w:pStyle w:val="a5"/>
          <w:jc w:val="center"/>
          <w:rPr>
            <w:rFonts w:ascii="Times New Roman" w:hAnsi="Times New Roman" w:cs="Times New Roman"/>
          </w:rPr>
        </w:pPr>
        <w:r w:rsidRPr="00D07843">
          <w:rPr>
            <w:rFonts w:ascii="Times New Roman" w:hAnsi="Times New Roman" w:cs="Times New Roman"/>
          </w:rPr>
          <w:fldChar w:fldCharType="begin"/>
        </w:r>
        <w:r w:rsidR="002B2017" w:rsidRPr="00D07843">
          <w:rPr>
            <w:rFonts w:ascii="Times New Roman" w:hAnsi="Times New Roman" w:cs="Times New Roman"/>
          </w:rPr>
          <w:instrText>PAGE   \* MERGEFORMAT</w:instrText>
        </w:r>
        <w:r w:rsidRPr="00D07843">
          <w:rPr>
            <w:rFonts w:ascii="Times New Roman" w:hAnsi="Times New Roman" w:cs="Times New Roman"/>
          </w:rPr>
          <w:fldChar w:fldCharType="separate"/>
        </w:r>
        <w:r w:rsidR="00044433" w:rsidRPr="00044433">
          <w:rPr>
            <w:rFonts w:ascii="Times New Roman" w:hAnsi="Times New Roman" w:cs="Times New Roman"/>
            <w:noProof/>
            <w:lang w:val="zh-CN"/>
          </w:rPr>
          <w:t>1</w:t>
        </w:r>
        <w:r w:rsidRPr="00D0784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01" w:rsidRDefault="004F3201" w:rsidP="003A26C0">
      <w:r>
        <w:separator/>
      </w:r>
    </w:p>
  </w:footnote>
  <w:footnote w:type="continuationSeparator" w:id="0">
    <w:p w:rsidR="004F3201" w:rsidRDefault="004F3201" w:rsidP="003A2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44EB8"/>
    <w:multiLevelType w:val="hybridMultilevel"/>
    <w:tmpl w:val="221A88D2"/>
    <w:lvl w:ilvl="0" w:tplc="D9EA8B6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4D823C0"/>
    <w:multiLevelType w:val="singleLevel"/>
    <w:tmpl w:val="54D823C0"/>
    <w:lvl w:ilvl="0">
      <w:start w:val="1"/>
      <w:numFmt w:val="chineseCounting"/>
      <w:suff w:val="nothing"/>
      <w:lvlText w:val="（%1）"/>
      <w:lvlJc w:val="left"/>
      <w:pPr>
        <w:ind w:left="0" w:firstLine="420"/>
      </w:pPr>
      <w:rPr>
        <w:rFonts w:hint="eastAsia"/>
        <w:b/>
      </w:rPr>
    </w:lvl>
  </w:abstractNum>
  <w:abstractNum w:abstractNumId="2">
    <w:nsid w:val="7BA36058"/>
    <w:multiLevelType w:val="hybridMultilevel"/>
    <w:tmpl w:val="DDCEE936"/>
    <w:lvl w:ilvl="0" w:tplc="D5A26186">
      <w:start w:val="1"/>
      <w:numFmt w:val="japaneseCounting"/>
      <w:lvlText w:val="%1、"/>
      <w:lvlJc w:val="left"/>
      <w:pPr>
        <w:ind w:left="525" w:hanging="4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2133"/>
    <w:rsid w:val="000207D6"/>
    <w:rsid w:val="00044433"/>
    <w:rsid w:val="00071659"/>
    <w:rsid w:val="00077C77"/>
    <w:rsid w:val="000949BF"/>
    <w:rsid w:val="000975BC"/>
    <w:rsid w:val="000C4773"/>
    <w:rsid w:val="000D66A6"/>
    <w:rsid w:val="00100008"/>
    <w:rsid w:val="001111F5"/>
    <w:rsid w:val="0012417F"/>
    <w:rsid w:val="00152D72"/>
    <w:rsid w:val="001C425D"/>
    <w:rsid w:val="001D07C0"/>
    <w:rsid w:val="001D3DDA"/>
    <w:rsid w:val="001E2E20"/>
    <w:rsid w:val="002248C7"/>
    <w:rsid w:val="0023703E"/>
    <w:rsid w:val="00263608"/>
    <w:rsid w:val="00267780"/>
    <w:rsid w:val="002910BD"/>
    <w:rsid w:val="002A3F2C"/>
    <w:rsid w:val="002B2017"/>
    <w:rsid w:val="002B3EDF"/>
    <w:rsid w:val="002C0233"/>
    <w:rsid w:val="00372047"/>
    <w:rsid w:val="0038656B"/>
    <w:rsid w:val="003A26C0"/>
    <w:rsid w:val="0043334F"/>
    <w:rsid w:val="00442D7C"/>
    <w:rsid w:val="00482B1B"/>
    <w:rsid w:val="004933E5"/>
    <w:rsid w:val="004950B3"/>
    <w:rsid w:val="004A4A64"/>
    <w:rsid w:val="004B0052"/>
    <w:rsid w:val="004C0A15"/>
    <w:rsid w:val="004C4F5C"/>
    <w:rsid w:val="004D50BB"/>
    <w:rsid w:val="004D72E5"/>
    <w:rsid w:val="004D7470"/>
    <w:rsid w:val="004F3201"/>
    <w:rsid w:val="00562DBD"/>
    <w:rsid w:val="005B4D0C"/>
    <w:rsid w:val="005B5C1D"/>
    <w:rsid w:val="005C283A"/>
    <w:rsid w:val="005E2DE4"/>
    <w:rsid w:val="00652E9E"/>
    <w:rsid w:val="00692247"/>
    <w:rsid w:val="006E2763"/>
    <w:rsid w:val="00704DF7"/>
    <w:rsid w:val="007537E9"/>
    <w:rsid w:val="00754324"/>
    <w:rsid w:val="007622C5"/>
    <w:rsid w:val="007A4531"/>
    <w:rsid w:val="007D5212"/>
    <w:rsid w:val="00834889"/>
    <w:rsid w:val="00857DB3"/>
    <w:rsid w:val="00867794"/>
    <w:rsid w:val="008977A9"/>
    <w:rsid w:val="008B2F35"/>
    <w:rsid w:val="008C4B2A"/>
    <w:rsid w:val="0093601C"/>
    <w:rsid w:val="009A2037"/>
    <w:rsid w:val="009A6EBA"/>
    <w:rsid w:val="009B6EE8"/>
    <w:rsid w:val="00A6723E"/>
    <w:rsid w:val="00A856DA"/>
    <w:rsid w:val="00AC5466"/>
    <w:rsid w:val="00AD4E12"/>
    <w:rsid w:val="00B04A64"/>
    <w:rsid w:val="00B07C97"/>
    <w:rsid w:val="00B4600A"/>
    <w:rsid w:val="00B46EC4"/>
    <w:rsid w:val="00B559AA"/>
    <w:rsid w:val="00B55BA7"/>
    <w:rsid w:val="00B62AFB"/>
    <w:rsid w:val="00B63192"/>
    <w:rsid w:val="00B83E22"/>
    <w:rsid w:val="00B862E5"/>
    <w:rsid w:val="00B93380"/>
    <w:rsid w:val="00BD3E61"/>
    <w:rsid w:val="00BE5148"/>
    <w:rsid w:val="00C0785C"/>
    <w:rsid w:val="00C22087"/>
    <w:rsid w:val="00C45486"/>
    <w:rsid w:val="00C529A9"/>
    <w:rsid w:val="00D01CA0"/>
    <w:rsid w:val="00D01E98"/>
    <w:rsid w:val="00D03C84"/>
    <w:rsid w:val="00D07843"/>
    <w:rsid w:val="00D65CAE"/>
    <w:rsid w:val="00D7731C"/>
    <w:rsid w:val="00D81E0A"/>
    <w:rsid w:val="00DA3EF1"/>
    <w:rsid w:val="00DA7B2C"/>
    <w:rsid w:val="00DF1464"/>
    <w:rsid w:val="00E02529"/>
    <w:rsid w:val="00E03CA5"/>
    <w:rsid w:val="00E3632D"/>
    <w:rsid w:val="00E81FE7"/>
    <w:rsid w:val="00E91F2C"/>
    <w:rsid w:val="00E93F9B"/>
    <w:rsid w:val="00E95447"/>
    <w:rsid w:val="00EB0480"/>
    <w:rsid w:val="00F008FC"/>
    <w:rsid w:val="00F02133"/>
    <w:rsid w:val="00F07B67"/>
    <w:rsid w:val="00F60FC9"/>
    <w:rsid w:val="00FC3B40"/>
    <w:rsid w:val="00FC5F82"/>
    <w:rsid w:val="00FD0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2133"/>
    <w:pPr>
      <w:widowControl w:val="0"/>
      <w:autoSpaceDE w:val="0"/>
      <w:autoSpaceDN w:val="0"/>
      <w:adjustRightInd w:val="0"/>
    </w:pPr>
    <w:rPr>
      <w:rFonts w:ascii="仿宋_GB2312" w:eastAsia="仿宋_GB2312" w:cs="仿宋_GB2312"/>
      <w:color w:val="000000"/>
      <w:kern w:val="0"/>
      <w:sz w:val="24"/>
      <w:szCs w:val="24"/>
    </w:rPr>
  </w:style>
  <w:style w:type="paragraph" w:styleId="a3">
    <w:name w:val="List Paragraph"/>
    <w:basedOn w:val="a"/>
    <w:uiPriority w:val="34"/>
    <w:qFormat/>
    <w:rsid w:val="00867794"/>
    <w:pPr>
      <w:ind w:firstLineChars="200" w:firstLine="420"/>
    </w:pPr>
  </w:style>
  <w:style w:type="paragraph" w:styleId="a4">
    <w:name w:val="header"/>
    <w:basedOn w:val="a"/>
    <w:link w:val="Char"/>
    <w:uiPriority w:val="99"/>
    <w:unhideWhenUsed/>
    <w:rsid w:val="003A2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6C0"/>
    <w:rPr>
      <w:sz w:val="18"/>
      <w:szCs w:val="18"/>
    </w:rPr>
  </w:style>
  <w:style w:type="paragraph" w:styleId="a5">
    <w:name w:val="footer"/>
    <w:basedOn w:val="a"/>
    <w:link w:val="Char0"/>
    <w:uiPriority w:val="99"/>
    <w:unhideWhenUsed/>
    <w:rsid w:val="003A26C0"/>
    <w:pPr>
      <w:tabs>
        <w:tab w:val="center" w:pos="4153"/>
        <w:tab w:val="right" w:pos="8306"/>
      </w:tabs>
      <w:snapToGrid w:val="0"/>
      <w:jc w:val="left"/>
    </w:pPr>
    <w:rPr>
      <w:sz w:val="18"/>
      <w:szCs w:val="18"/>
    </w:rPr>
  </w:style>
  <w:style w:type="character" w:customStyle="1" w:styleId="Char0">
    <w:name w:val="页脚 Char"/>
    <w:basedOn w:val="a0"/>
    <w:link w:val="a5"/>
    <w:uiPriority w:val="99"/>
    <w:rsid w:val="003A26C0"/>
    <w:rPr>
      <w:sz w:val="18"/>
      <w:szCs w:val="18"/>
    </w:rPr>
  </w:style>
  <w:style w:type="paragraph" w:styleId="a6">
    <w:name w:val="Balloon Text"/>
    <w:basedOn w:val="a"/>
    <w:link w:val="Char1"/>
    <w:uiPriority w:val="99"/>
    <w:semiHidden/>
    <w:unhideWhenUsed/>
    <w:rsid w:val="003A26C0"/>
    <w:rPr>
      <w:sz w:val="18"/>
      <w:szCs w:val="18"/>
    </w:rPr>
  </w:style>
  <w:style w:type="character" w:customStyle="1" w:styleId="Char1">
    <w:name w:val="批注框文本 Char"/>
    <w:basedOn w:val="a0"/>
    <w:link w:val="a6"/>
    <w:uiPriority w:val="99"/>
    <w:semiHidden/>
    <w:rsid w:val="003A26C0"/>
    <w:rPr>
      <w:sz w:val="18"/>
      <w:szCs w:val="18"/>
    </w:rPr>
  </w:style>
  <w:style w:type="paragraph" w:styleId="a7">
    <w:name w:val="Document Map"/>
    <w:basedOn w:val="a"/>
    <w:link w:val="Char2"/>
    <w:uiPriority w:val="99"/>
    <w:semiHidden/>
    <w:unhideWhenUsed/>
    <w:rsid w:val="000949BF"/>
    <w:rPr>
      <w:rFonts w:ascii="宋体" w:eastAsia="宋体"/>
      <w:sz w:val="18"/>
      <w:szCs w:val="18"/>
    </w:rPr>
  </w:style>
  <w:style w:type="character" w:customStyle="1" w:styleId="Char2">
    <w:name w:val="文档结构图 Char"/>
    <w:basedOn w:val="a0"/>
    <w:link w:val="a7"/>
    <w:uiPriority w:val="99"/>
    <w:semiHidden/>
    <w:rsid w:val="000949BF"/>
    <w:rPr>
      <w:rFonts w:ascii="宋体" w:eastAsia="宋体"/>
      <w:sz w:val="18"/>
      <w:szCs w:val="18"/>
    </w:rPr>
  </w:style>
  <w:style w:type="character" w:styleId="a8">
    <w:name w:val="annotation reference"/>
    <w:basedOn w:val="a0"/>
    <w:uiPriority w:val="99"/>
    <w:semiHidden/>
    <w:unhideWhenUsed/>
    <w:rsid w:val="009A2037"/>
    <w:rPr>
      <w:sz w:val="21"/>
      <w:szCs w:val="21"/>
    </w:rPr>
  </w:style>
  <w:style w:type="paragraph" w:styleId="a9">
    <w:name w:val="annotation text"/>
    <w:basedOn w:val="a"/>
    <w:link w:val="Char3"/>
    <w:uiPriority w:val="99"/>
    <w:semiHidden/>
    <w:unhideWhenUsed/>
    <w:rsid w:val="009A2037"/>
    <w:pPr>
      <w:jc w:val="left"/>
    </w:pPr>
  </w:style>
  <w:style w:type="character" w:customStyle="1" w:styleId="Char3">
    <w:name w:val="批注文字 Char"/>
    <w:basedOn w:val="a0"/>
    <w:link w:val="a9"/>
    <w:uiPriority w:val="99"/>
    <w:semiHidden/>
    <w:rsid w:val="009A2037"/>
  </w:style>
  <w:style w:type="paragraph" w:styleId="aa">
    <w:name w:val="annotation subject"/>
    <w:basedOn w:val="a9"/>
    <w:next w:val="a9"/>
    <w:link w:val="Char4"/>
    <w:uiPriority w:val="99"/>
    <w:semiHidden/>
    <w:unhideWhenUsed/>
    <w:rsid w:val="009A2037"/>
    <w:rPr>
      <w:b/>
      <w:bCs/>
    </w:rPr>
  </w:style>
  <w:style w:type="character" w:customStyle="1" w:styleId="Char4">
    <w:name w:val="批注主题 Char"/>
    <w:basedOn w:val="Char3"/>
    <w:link w:val="aa"/>
    <w:uiPriority w:val="99"/>
    <w:semiHidden/>
    <w:rsid w:val="009A2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2133"/>
    <w:pPr>
      <w:widowControl w:val="0"/>
      <w:autoSpaceDE w:val="0"/>
      <w:autoSpaceDN w:val="0"/>
      <w:adjustRightInd w:val="0"/>
    </w:pPr>
    <w:rPr>
      <w:rFonts w:ascii="仿宋_GB2312" w:eastAsia="仿宋_GB2312" w:cs="仿宋_GB2312"/>
      <w:color w:val="000000"/>
      <w:kern w:val="0"/>
      <w:sz w:val="24"/>
      <w:szCs w:val="24"/>
    </w:rPr>
  </w:style>
  <w:style w:type="paragraph" w:styleId="a3">
    <w:name w:val="List Paragraph"/>
    <w:basedOn w:val="a"/>
    <w:uiPriority w:val="34"/>
    <w:qFormat/>
    <w:rsid w:val="00867794"/>
    <w:pPr>
      <w:ind w:firstLineChars="200" w:firstLine="420"/>
    </w:pPr>
  </w:style>
  <w:style w:type="paragraph" w:styleId="a4">
    <w:name w:val="header"/>
    <w:basedOn w:val="a"/>
    <w:link w:val="Char"/>
    <w:uiPriority w:val="99"/>
    <w:unhideWhenUsed/>
    <w:rsid w:val="003A2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26C0"/>
    <w:rPr>
      <w:sz w:val="18"/>
      <w:szCs w:val="18"/>
    </w:rPr>
  </w:style>
  <w:style w:type="paragraph" w:styleId="a5">
    <w:name w:val="footer"/>
    <w:basedOn w:val="a"/>
    <w:link w:val="Char0"/>
    <w:uiPriority w:val="99"/>
    <w:unhideWhenUsed/>
    <w:rsid w:val="003A26C0"/>
    <w:pPr>
      <w:tabs>
        <w:tab w:val="center" w:pos="4153"/>
        <w:tab w:val="right" w:pos="8306"/>
      </w:tabs>
      <w:snapToGrid w:val="0"/>
      <w:jc w:val="left"/>
    </w:pPr>
    <w:rPr>
      <w:sz w:val="18"/>
      <w:szCs w:val="18"/>
    </w:rPr>
  </w:style>
  <w:style w:type="character" w:customStyle="1" w:styleId="Char0">
    <w:name w:val="页脚 Char"/>
    <w:basedOn w:val="a0"/>
    <w:link w:val="a5"/>
    <w:uiPriority w:val="99"/>
    <w:rsid w:val="003A26C0"/>
    <w:rPr>
      <w:sz w:val="18"/>
      <w:szCs w:val="18"/>
    </w:rPr>
  </w:style>
  <w:style w:type="paragraph" w:styleId="a6">
    <w:name w:val="Balloon Text"/>
    <w:basedOn w:val="a"/>
    <w:link w:val="Char1"/>
    <w:uiPriority w:val="99"/>
    <w:semiHidden/>
    <w:unhideWhenUsed/>
    <w:rsid w:val="003A26C0"/>
    <w:rPr>
      <w:sz w:val="18"/>
      <w:szCs w:val="18"/>
    </w:rPr>
  </w:style>
  <w:style w:type="character" w:customStyle="1" w:styleId="Char1">
    <w:name w:val="批注框文本 Char"/>
    <w:basedOn w:val="a0"/>
    <w:link w:val="a6"/>
    <w:uiPriority w:val="99"/>
    <w:semiHidden/>
    <w:rsid w:val="003A26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06963">
      <w:bodyDiv w:val="1"/>
      <w:marLeft w:val="0"/>
      <w:marRight w:val="0"/>
      <w:marTop w:val="0"/>
      <w:marBottom w:val="0"/>
      <w:divBdr>
        <w:top w:val="none" w:sz="0" w:space="0" w:color="auto"/>
        <w:left w:val="none" w:sz="0" w:space="0" w:color="auto"/>
        <w:bottom w:val="none" w:sz="0" w:space="0" w:color="auto"/>
        <w:right w:val="none" w:sz="0" w:space="0" w:color="auto"/>
      </w:divBdr>
    </w:div>
    <w:div w:id="814764955">
      <w:bodyDiv w:val="1"/>
      <w:marLeft w:val="0"/>
      <w:marRight w:val="0"/>
      <w:marTop w:val="0"/>
      <w:marBottom w:val="0"/>
      <w:divBdr>
        <w:top w:val="none" w:sz="0" w:space="0" w:color="auto"/>
        <w:left w:val="none" w:sz="0" w:space="0" w:color="auto"/>
        <w:bottom w:val="none" w:sz="0" w:space="0" w:color="auto"/>
        <w:right w:val="none" w:sz="0" w:space="0" w:color="auto"/>
      </w:divBdr>
    </w:div>
    <w:div w:id="1365011322">
      <w:bodyDiv w:val="1"/>
      <w:marLeft w:val="0"/>
      <w:marRight w:val="0"/>
      <w:marTop w:val="0"/>
      <w:marBottom w:val="0"/>
      <w:divBdr>
        <w:top w:val="none" w:sz="0" w:space="0" w:color="auto"/>
        <w:left w:val="none" w:sz="0" w:space="0" w:color="auto"/>
        <w:bottom w:val="none" w:sz="0" w:space="0" w:color="auto"/>
        <w:right w:val="none" w:sz="0" w:space="0" w:color="auto"/>
      </w:divBdr>
    </w:div>
    <w:div w:id="1732072335">
      <w:bodyDiv w:val="1"/>
      <w:marLeft w:val="0"/>
      <w:marRight w:val="0"/>
      <w:marTop w:val="0"/>
      <w:marBottom w:val="0"/>
      <w:divBdr>
        <w:top w:val="none" w:sz="0" w:space="0" w:color="auto"/>
        <w:left w:val="none" w:sz="0" w:space="0" w:color="auto"/>
        <w:bottom w:val="none" w:sz="0" w:space="0" w:color="auto"/>
        <w:right w:val="none" w:sz="0" w:space="0" w:color="auto"/>
      </w:divBdr>
    </w:div>
    <w:div w:id="1830976203">
      <w:bodyDiv w:val="1"/>
      <w:marLeft w:val="0"/>
      <w:marRight w:val="0"/>
      <w:marTop w:val="0"/>
      <w:marBottom w:val="0"/>
      <w:divBdr>
        <w:top w:val="none" w:sz="0" w:space="0" w:color="auto"/>
        <w:left w:val="none" w:sz="0" w:space="0" w:color="auto"/>
        <w:bottom w:val="none" w:sz="0" w:space="0" w:color="auto"/>
        <w:right w:val="none" w:sz="0" w:space="0" w:color="auto"/>
      </w:divBdr>
    </w:div>
    <w:div w:id="20799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19</Pages>
  <Words>3094</Words>
  <Characters>17641</Characters>
  <Application>Microsoft Office Word</Application>
  <DocSecurity>0</DocSecurity>
  <Lines>147</Lines>
  <Paragraphs>41</Paragraphs>
  <ScaleCrop>false</ScaleCrop>
  <Company/>
  <LinksUpToDate>false</LinksUpToDate>
  <CharactersWithSpaces>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刘春明(cmliu)</cp:lastModifiedBy>
  <cp:revision>42</cp:revision>
  <dcterms:created xsi:type="dcterms:W3CDTF">2015-06-26T00:54:00Z</dcterms:created>
  <dcterms:modified xsi:type="dcterms:W3CDTF">2015-07-02T09:56:00Z</dcterms:modified>
</cp:coreProperties>
</file>